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auto"/>
          <w:spacing w:val="0"/>
          <w:sz w:val="19"/>
          <w:szCs w:val="19"/>
        </w:rPr>
      </w:pPr>
      <w:r>
        <w:rPr>
          <w:rStyle w:val="9"/>
          <w:rFonts w:ascii="宋体" w:hAnsi="宋体" w:eastAsia="宋体" w:cs="宋体"/>
          <w:b/>
          <w:i w:val="0"/>
          <w:caps w:val="0"/>
          <w:color w:val="auto"/>
          <w:spacing w:val="0"/>
          <w:sz w:val="72"/>
          <w:szCs w:val="72"/>
          <w:shd w:val="clear" w:fill="FFFFFF"/>
        </w:rPr>
        <w:t>福建省政府采购</w:t>
      </w: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auto"/>
          <w:spacing w:val="0"/>
          <w:sz w:val="19"/>
          <w:szCs w:val="19"/>
        </w:rPr>
      </w:pPr>
      <w:r>
        <w:rPr>
          <w:rStyle w:val="9"/>
          <w:rFonts w:hint="eastAsia" w:ascii="宋体" w:hAnsi="宋体" w:eastAsia="宋体" w:cs="宋体"/>
          <w:b/>
          <w:i w:val="0"/>
          <w:caps w:val="0"/>
          <w:color w:val="auto"/>
          <w:spacing w:val="0"/>
          <w:sz w:val="72"/>
          <w:szCs w:val="72"/>
          <w:shd w:val="clear" w:fill="FFFFFF"/>
        </w:rPr>
        <w:t>货物和服务项目</w:t>
      </w: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auto"/>
          <w:spacing w:val="0"/>
          <w:sz w:val="19"/>
          <w:szCs w:val="19"/>
        </w:rPr>
      </w:pPr>
      <w:r>
        <w:rPr>
          <w:rStyle w:val="9"/>
          <w:rFonts w:hint="eastAsia" w:ascii="宋体" w:hAnsi="宋体" w:eastAsia="宋体" w:cs="宋体"/>
          <w:b/>
          <w:i w:val="0"/>
          <w:caps w:val="0"/>
          <w:color w:val="auto"/>
          <w:spacing w:val="0"/>
          <w:sz w:val="72"/>
          <w:szCs w:val="72"/>
          <w:shd w:val="clear" w:fill="FFFFFF"/>
        </w:rPr>
        <w:t>公开招标文件</w:t>
      </w:r>
    </w:p>
    <w:p>
      <w:pPr>
        <w:pStyle w:val="6"/>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auto"/>
          <w:spacing w:val="0"/>
          <w:sz w:val="19"/>
          <w:szCs w:val="19"/>
        </w:rPr>
      </w:pPr>
      <w:r>
        <w:rPr>
          <w:rStyle w:val="9"/>
          <w:rFonts w:hint="eastAsia" w:ascii="宋体" w:hAnsi="宋体" w:eastAsia="宋体" w:cs="宋体"/>
          <w:b/>
          <w:i w:val="0"/>
          <w:caps w:val="0"/>
          <w:color w:val="auto"/>
          <w:spacing w:val="0"/>
          <w:sz w:val="72"/>
          <w:szCs w:val="72"/>
          <w:shd w:val="clear" w:fill="FFFFFF"/>
        </w:rPr>
        <w:t>     </w:t>
      </w: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auto"/>
          <w:spacing w:val="0"/>
          <w:sz w:val="19"/>
          <w:szCs w:val="19"/>
        </w:rPr>
      </w:pPr>
      <w:r>
        <w:rPr>
          <w:rFonts w:hint="eastAsia" w:ascii="微软雅黑" w:hAnsi="微软雅黑" w:eastAsia="微软雅黑" w:cs="微软雅黑"/>
          <w:i w:val="0"/>
          <w:caps w:val="0"/>
          <w:color w:val="auto"/>
          <w:spacing w:val="0"/>
          <w:sz w:val="24"/>
          <w:szCs w:val="24"/>
          <w:shd w:val="clear" w:fill="FFFFFF"/>
        </w:rPr>
        <w:t> </w:t>
      </w:r>
    </w:p>
    <w:p>
      <w:pPr>
        <w:pStyle w:val="6"/>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auto"/>
          <w:spacing w:val="0"/>
          <w:sz w:val="19"/>
          <w:szCs w:val="19"/>
        </w:rPr>
      </w:pPr>
      <w:r>
        <w:rPr>
          <w:rFonts w:hint="eastAsia" w:ascii="微软雅黑" w:hAnsi="微软雅黑" w:eastAsia="微软雅黑" w:cs="微软雅黑"/>
          <w:i w:val="0"/>
          <w:caps w:val="0"/>
          <w:color w:val="auto"/>
          <w:spacing w:val="0"/>
          <w:sz w:val="24"/>
          <w:szCs w:val="24"/>
          <w:shd w:val="clear" w:fill="FFFFFF"/>
        </w:rPr>
        <w:t> </w:t>
      </w:r>
    </w:p>
    <w:p>
      <w:pPr>
        <w:pStyle w:val="6"/>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auto"/>
          <w:spacing w:val="0"/>
          <w:sz w:val="19"/>
          <w:szCs w:val="19"/>
        </w:rPr>
      </w:pPr>
      <w:r>
        <w:rPr>
          <w:rStyle w:val="9"/>
          <w:rFonts w:hint="eastAsia" w:ascii="宋体" w:hAnsi="宋体" w:eastAsia="宋体" w:cs="宋体"/>
          <w:b/>
          <w:i w:val="0"/>
          <w:caps w:val="0"/>
          <w:color w:val="auto"/>
          <w:spacing w:val="0"/>
          <w:sz w:val="36"/>
          <w:szCs w:val="36"/>
          <w:shd w:val="clear" w:fill="FFFFFF"/>
        </w:rPr>
        <w:t> </w:t>
      </w:r>
    </w:p>
    <w:p>
      <w:pPr>
        <w:pStyle w:val="6"/>
        <w:keepNext w:val="0"/>
        <w:keepLines w:val="0"/>
        <w:widowControl/>
        <w:suppressLineNumbers w:val="0"/>
        <w:shd w:val="clear" w:fill="FFFFFF"/>
        <w:spacing w:before="75" w:beforeAutospacing="0" w:after="75" w:afterAutospacing="0"/>
        <w:ind w:right="0"/>
        <w:rPr>
          <w:rStyle w:val="9"/>
          <w:rFonts w:hint="eastAsia" w:ascii="宋体" w:hAnsi="宋体" w:eastAsia="宋体" w:cs="宋体"/>
          <w:b/>
          <w:i w:val="0"/>
          <w:caps w:val="0"/>
          <w:color w:val="auto"/>
          <w:spacing w:val="0"/>
          <w:sz w:val="30"/>
          <w:szCs w:val="30"/>
          <w:shd w:val="clear" w:fill="FFFFFF"/>
        </w:rPr>
      </w:pPr>
      <w:r>
        <w:rPr>
          <w:rStyle w:val="9"/>
          <w:rFonts w:hint="eastAsia" w:ascii="宋体" w:hAnsi="宋体" w:eastAsia="宋体" w:cs="宋体"/>
          <w:b/>
          <w:i w:val="0"/>
          <w:caps w:val="0"/>
          <w:color w:val="auto"/>
          <w:spacing w:val="0"/>
          <w:sz w:val="30"/>
          <w:szCs w:val="30"/>
          <w:shd w:val="clear" w:fill="FFFFFF"/>
        </w:rPr>
        <w:t>项目名称：福建医科大学临床检验设备采购项目</w:t>
      </w:r>
    </w:p>
    <w:p>
      <w:pPr>
        <w:pStyle w:val="6"/>
        <w:keepNext w:val="0"/>
        <w:keepLines w:val="0"/>
        <w:widowControl/>
        <w:suppressLineNumbers w:val="0"/>
        <w:shd w:val="clear" w:fill="FFFFFF"/>
        <w:spacing w:before="75" w:beforeAutospacing="0" w:after="75" w:afterAutospacing="0"/>
        <w:ind w:right="0"/>
        <w:rPr>
          <w:rStyle w:val="9"/>
          <w:rFonts w:hint="eastAsia" w:ascii="宋体" w:hAnsi="宋体" w:eastAsia="宋体" w:cs="宋体"/>
          <w:b/>
          <w:i w:val="0"/>
          <w:caps w:val="0"/>
          <w:color w:val="auto"/>
          <w:spacing w:val="0"/>
          <w:sz w:val="30"/>
          <w:szCs w:val="30"/>
          <w:shd w:val="clear" w:fill="FFFFFF"/>
        </w:rPr>
      </w:pPr>
      <w:r>
        <w:rPr>
          <w:rStyle w:val="9"/>
          <w:rFonts w:hint="eastAsia" w:ascii="宋体" w:hAnsi="宋体" w:eastAsia="宋体" w:cs="宋体"/>
          <w:b/>
          <w:i w:val="0"/>
          <w:caps w:val="0"/>
          <w:color w:val="auto"/>
          <w:spacing w:val="0"/>
          <w:sz w:val="30"/>
          <w:szCs w:val="30"/>
          <w:shd w:val="clear" w:fill="FFFFFF"/>
        </w:rPr>
        <w:t>备案编号：K-YKU-GK-201903-B1135-IDN</w:t>
      </w:r>
    </w:p>
    <w:p>
      <w:pPr>
        <w:pStyle w:val="6"/>
        <w:keepNext w:val="0"/>
        <w:keepLines w:val="0"/>
        <w:widowControl/>
        <w:suppressLineNumbers w:val="0"/>
        <w:shd w:val="clear" w:fill="FFFFFF"/>
        <w:spacing w:before="75" w:beforeAutospacing="0" w:after="75" w:afterAutospacing="0"/>
        <w:ind w:right="0"/>
        <w:rPr>
          <w:rFonts w:hint="eastAsia" w:ascii="微软雅黑" w:hAnsi="微软雅黑" w:eastAsia="微软雅黑" w:cs="微软雅黑"/>
          <w:i w:val="0"/>
          <w:caps w:val="0"/>
          <w:color w:val="auto"/>
          <w:spacing w:val="0"/>
          <w:sz w:val="19"/>
          <w:szCs w:val="19"/>
        </w:rPr>
      </w:pPr>
      <w:r>
        <w:rPr>
          <w:rStyle w:val="9"/>
          <w:rFonts w:hint="eastAsia" w:ascii="宋体" w:hAnsi="宋体" w:eastAsia="宋体" w:cs="宋体"/>
          <w:b/>
          <w:i w:val="0"/>
          <w:caps w:val="0"/>
          <w:color w:val="auto"/>
          <w:spacing w:val="0"/>
          <w:sz w:val="30"/>
          <w:szCs w:val="30"/>
          <w:shd w:val="clear" w:fill="FFFFFF"/>
        </w:rPr>
        <w:t>招标编号：[3500]ZSZB[GK]2019020</w:t>
      </w:r>
    </w:p>
    <w:p>
      <w:pPr>
        <w:pStyle w:val="6"/>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auto"/>
          <w:spacing w:val="0"/>
          <w:sz w:val="19"/>
          <w:szCs w:val="19"/>
        </w:rPr>
      </w:pPr>
      <w:r>
        <w:rPr>
          <w:rFonts w:hint="eastAsia" w:ascii="微软雅黑" w:hAnsi="微软雅黑" w:eastAsia="微软雅黑" w:cs="微软雅黑"/>
          <w:i w:val="0"/>
          <w:caps w:val="0"/>
          <w:color w:val="auto"/>
          <w:spacing w:val="0"/>
          <w:sz w:val="24"/>
          <w:szCs w:val="24"/>
          <w:shd w:val="clear" w:fill="FFFFFF"/>
        </w:rPr>
        <w:t> </w:t>
      </w:r>
    </w:p>
    <w:p>
      <w:pPr>
        <w:pStyle w:val="6"/>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auto"/>
          <w:spacing w:val="0"/>
          <w:sz w:val="19"/>
          <w:szCs w:val="19"/>
        </w:rPr>
      </w:pPr>
      <w:r>
        <w:rPr>
          <w:rStyle w:val="9"/>
          <w:rFonts w:hint="eastAsia" w:ascii="宋体" w:hAnsi="宋体" w:eastAsia="宋体" w:cs="宋体"/>
          <w:b/>
          <w:i w:val="0"/>
          <w:caps w:val="0"/>
          <w:color w:val="auto"/>
          <w:spacing w:val="0"/>
          <w:sz w:val="28"/>
          <w:szCs w:val="28"/>
          <w:shd w:val="clear" w:fill="FFFFFF"/>
        </w:rPr>
        <w:t> </w:t>
      </w:r>
    </w:p>
    <w:p>
      <w:pPr>
        <w:pStyle w:val="6"/>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auto"/>
          <w:spacing w:val="0"/>
          <w:sz w:val="19"/>
          <w:szCs w:val="19"/>
        </w:rPr>
      </w:pPr>
      <w:r>
        <w:rPr>
          <w:rFonts w:hint="eastAsia" w:ascii="微软雅黑" w:hAnsi="微软雅黑" w:eastAsia="微软雅黑" w:cs="微软雅黑"/>
          <w:i w:val="0"/>
          <w:caps w:val="0"/>
          <w:color w:val="auto"/>
          <w:spacing w:val="0"/>
          <w:sz w:val="24"/>
          <w:szCs w:val="24"/>
          <w:shd w:val="clear" w:fill="FFFFFF"/>
        </w:rPr>
        <w:t> </w:t>
      </w: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auto"/>
          <w:spacing w:val="0"/>
          <w:sz w:val="19"/>
          <w:szCs w:val="19"/>
        </w:rPr>
      </w:pPr>
      <w:r>
        <w:rPr>
          <w:rFonts w:hint="eastAsia" w:ascii="微软雅黑" w:hAnsi="微软雅黑" w:eastAsia="微软雅黑" w:cs="微软雅黑"/>
          <w:i w:val="0"/>
          <w:caps w:val="0"/>
          <w:color w:val="auto"/>
          <w:spacing w:val="0"/>
          <w:sz w:val="24"/>
          <w:szCs w:val="24"/>
          <w:shd w:val="clear" w:fill="FFFFFF"/>
        </w:rPr>
        <w:t> </w:t>
      </w:r>
      <w:r>
        <w:rPr>
          <w:rStyle w:val="9"/>
          <w:rFonts w:hint="eastAsia" w:ascii="宋体" w:hAnsi="宋体" w:eastAsia="宋体" w:cs="宋体"/>
          <w:b/>
          <w:i w:val="0"/>
          <w:caps w:val="0"/>
          <w:color w:val="auto"/>
          <w:spacing w:val="0"/>
          <w:sz w:val="27"/>
          <w:szCs w:val="27"/>
          <w:shd w:val="clear" w:fill="FFFFFF"/>
        </w:rPr>
        <w:t>采购人：</w:t>
      </w:r>
      <w:r>
        <w:rPr>
          <w:rFonts w:hint="eastAsia" w:ascii="微软雅黑" w:hAnsi="微软雅黑" w:eastAsia="微软雅黑" w:cs="微软雅黑"/>
          <w:i w:val="0"/>
          <w:caps w:val="0"/>
          <w:color w:val="auto"/>
          <w:spacing w:val="0"/>
          <w:sz w:val="27"/>
          <w:szCs w:val="27"/>
          <w:shd w:val="clear" w:fill="FFFFFF"/>
        </w:rPr>
        <w:t> </w:t>
      </w:r>
      <w:r>
        <w:rPr>
          <w:rStyle w:val="9"/>
          <w:rFonts w:hint="eastAsia" w:ascii="宋体" w:hAnsi="宋体" w:eastAsia="宋体" w:cs="宋体"/>
          <w:b/>
          <w:i w:val="0"/>
          <w:caps w:val="0"/>
          <w:color w:val="auto"/>
          <w:spacing w:val="0"/>
          <w:sz w:val="28"/>
          <w:szCs w:val="28"/>
          <w:shd w:val="clear" w:fill="FFFFFF"/>
        </w:rPr>
        <w:t>福建医科大学</w:t>
      </w: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auto"/>
          <w:spacing w:val="0"/>
          <w:sz w:val="19"/>
          <w:szCs w:val="19"/>
        </w:rPr>
      </w:pPr>
      <w:r>
        <w:rPr>
          <w:rStyle w:val="9"/>
          <w:rFonts w:hint="eastAsia" w:ascii="宋体" w:hAnsi="宋体" w:eastAsia="宋体" w:cs="宋体"/>
          <w:b/>
          <w:i w:val="0"/>
          <w:caps w:val="0"/>
          <w:color w:val="auto"/>
          <w:spacing w:val="0"/>
          <w:sz w:val="28"/>
          <w:szCs w:val="28"/>
          <w:shd w:val="clear" w:fill="FFFFFF"/>
        </w:rPr>
        <w:t>代理机构：福建中实招标有限公司</w:t>
      </w:r>
    </w:p>
    <w:p>
      <w:pPr>
        <w:pStyle w:val="6"/>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caps w:val="0"/>
          <w:color w:val="auto"/>
          <w:spacing w:val="0"/>
          <w:sz w:val="19"/>
          <w:szCs w:val="19"/>
        </w:rPr>
      </w:pPr>
      <w:r>
        <w:rPr>
          <w:rStyle w:val="9"/>
          <w:rFonts w:hint="eastAsia" w:ascii="宋体" w:hAnsi="宋体" w:eastAsia="宋体" w:cs="宋体"/>
          <w:b/>
          <w:i w:val="0"/>
          <w:caps w:val="0"/>
          <w:color w:val="auto"/>
          <w:spacing w:val="0"/>
          <w:sz w:val="28"/>
          <w:szCs w:val="28"/>
          <w:shd w:val="clear" w:fill="FFFFFF"/>
        </w:rPr>
        <w:t>2019年03月</w:t>
      </w:r>
    </w:p>
    <w:p>
      <w:pPr>
        <w:pStyle w:val="6"/>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caps w:val="0"/>
          <w:color w:val="auto"/>
          <w:spacing w:val="0"/>
          <w:sz w:val="19"/>
          <w:szCs w:val="19"/>
        </w:rPr>
      </w:pPr>
      <w:r>
        <w:rPr>
          <w:rFonts w:hint="eastAsia" w:ascii="微软雅黑" w:hAnsi="微软雅黑" w:eastAsia="微软雅黑" w:cs="微软雅黑"/>
          <w:i w:val="0"/>
          <w:caps w:val="0"/>
          <w:color w:val="auto"/>
          <w:spacing w:val="0"/>
          <w:sz w:val="24"/>
          <w:szCs w:val="24"/>
          <w:shd w:val="clear" w:fill="FFFFFF"/>
        </w:rPr>
        <w:t> </w:t>
      </w:r>
    </w:p>
    <w:p>
      <w:pPr>
        <w:pStyle w:val="6"/>
        <w:keepNext w:val="0"/>
        <w:keepLines w:val="0"/>
        <w:widowControl/>
        <w:suppressLineNumbers w:val="0"/>
        <w:shd w:val="clear" w:fill="FFFFFF"/>
        <w:spacing w:before="75" w:beforeAutospacing="0" w:after="75" w:afterAutospacing="0" w:line="360" w:lineRule="atLeast"/>
        <w:ind w:left="0" w:right="720" w:firstLine="0"/>
        <w:jc w:val="center"/>
        <w:rPr>
          <w:rFonts w:hint="eastAsia" w:ascii="微软雅黑" w:hAnsi="微软雅黑" w:eastAsia="微软雅黑" w:cs="微软雅黑"/>
          <w:i w:val="0"/>
          <w:caps w:val="0"/>
          <w:color w:val="auto"/>
          <w:spacing w:val="0"/>
          <w:sz w:val="19"/>
          <w:szCs w:val="19"/>
        </w:rPr>
      </w:pPr>
      <w:r>
        <w:rPr>
          <w:rFonts w:hint="eastAsia" w:ascii="宋体" w:hAnsi="宋体" w:eastAsia="宋体" w:cs="宋体"/>
          <w:i w:val="0"/>
          <w:caps w:val="0"/>
          <w:color w:val="auto"/>
          <w:spacing w:val="0"/>
          <w:sz w:val="24"/>
          <w:szCs w:val="24"/>
          <w:shd w:val="clear" w:fill="FFFFFF"/>
        </w:rPr>
        <w:t> </w:t>
      </w:r>
    </w:p>
    <w:p>
      <w:pPr>
        <w:pStyle w:val="6"/>
        <w:keepNext w:val="0"/>
        <w:keepLines w:val="0"/>
        <w:widowControl/>
        <w:suppressLineNumbers w:val="0"/>
        <w:shd w:val="clear" w:fill="FFFFFF"/>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31"/>
          <w:szCs w:val="31"/>
        </w:rPr>
        <w:t>第一章</w:t>
      </w:r>
      <w:r>
        <w:rPr>
          <w:rStyle w:val="9"/>
          <w:b/>
          <w:color w:val="auto"/>
          <w:spacing w:val="0"/>
          <w:sz w:val="31"/>
          <w:szCs w:val="31"/>
        </w:rPr>
        <w:t>   </w:t>
      </w:r>
      <w:r>
        <w:rPr>
          <w:rStyle w:val="9"/>
          <w:rFonts w:hint="eastAsia" w:ascii="宋体" w:hAnsi="宋体" w:eastAsia="宋体" w:cs="宋体"/>
          <w:b/>
          <w:color w:val="auto"/>
          <w:spacing w:val="0"/>
          <w:sz w:val="31"/>
          <w:szCs w:val="31"/>
        </w:rPr>
        <w:t>投标邀请</w:t>
      </w:r>
    </w:p>
    <w:p>
      <w:pPr>
        <w:pStyle w:val="6"/>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采用</w:t>
      </w:r>
      <w:r>
        <w:rPr>
          <w:rFonts w:hint="eastAsia" w:ascii="宋体" w:hAnsi="宋体" w:eastAsia="宋体" w:cs="宋体"/>
          <w:color w:val="auto"/>
          <w:spacing w:val="0"/>
          <w:sz w:val="24"/>
          <w:szCs w:val="24"/>
          <w:u w:val="single"/>
        </w:rPr>
        <w:t>公开招标方式</w:t>
      </w:r>
      <w:r>
        <w:rPr>
          <w:rFonts w:hint="eastAsia" w:ascii="宋体" w:hAnsi="宋体" w:eastAsia="宋体" w:cs="宋体"/>
          <w:color w:val="auto"/>
          <w:spacing w:val="0"/>
          <w:sz w:val="24"/>
          <w:szCs w:val="24"/>
        </w:rPr>
        <w:t>组织</w:t>
      </w:r>
      <w:r>
        <w:rPr>
          <w:rFonts w:hint="eastAsia" w:ascii="宋体" w:hAnsi="宋体" w:eastAsia="宋体" w:cs="宋体"/>
          <w:color w:val="auto"/>
          <w:spacing w:val="0"/>
          <w:sz w:val="24"/>
          <w:szCs w:val="24"/>
          <w:u w:val="none"/>
        </w:rPr>
        <w:t>福建医科大学临床检验设备采购项目</w:t>
      </w:r>
      <w:r>
        <w:rPr>
          <w:rFonts w:hint="eastAsia" w:ascii="宋体" w:hAnsi="宋体" w:eastAsia="宋体" w:cs="宋体"/>
          <w:color w:val="auto"/>
          <w:spacing w:val="0"/>
          <w:sz w:val="24"/>
          <w:szCs w:val="24"/>
        </w:rPr>
        <w:t>（以下简称：“本项目”）的政府采购活动，现邀请供应商参加投标。</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1、备案编号：</w:t>
      </w:r>
      <w:r>
        <w:rPr>
          <w:rFonts w:hint="eastAsia" w:ascii="宋体" w:hAnsi="宋体" w:eastAsia="宋体" w:cs="宋体"/>
          <w:color w:val="auto"/>
          <w:spacing w:val="0"/>
          <w:sz w:val="24"/>
          <w:szCs w:val="24"/>
          <w:u w:val="single"/>
        </w:rPr>
        <w:t>K-YKU-GK-201903-B1135-IDN</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2、招标编号：</w:t>
      </w:r>
      <w:r>
        <w:rPr>
          <w:rFonts w:hint="eastAsia" w:ascii="宋体" w:hAnsi="宋体" w:eastAsia="宋体" w:cs="宋体"/>
          <w:color w:val="auto"/>
          <w:spacing w:val="0"/>
          <w:sz w:val="24"/>
          <w:szCs w:val="24"/>
          <w:u w:val="single"/>
        </w:rPr>
        <w:t>[3500]ZSZB[GK]2019020</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3、预算金额、最高限价：详见《采购标的一览表》。</w:t>
      </w:r>
      <w:r>
        <w:rPr>
          <w:rFonts w:hint="eastAsia" w:ascii="宋体" w:hAnsi="宋体" w:eastAsia="宋体" w:cs="宋体"/>
          <w:color w:val="auto"/>
          <w:spacing w:val="0"/>
          <w:sz w:val="24"/>
          <w:szCs w:val="24"/>
        </w:rPr>
        <w:br w:type="textWrapping"/>
      </w:r>
      <w:r>
        <w:rPr>
          <w:rFonts w:hint="eastAsia" w:ascii="宋体" w:hAnsi="宋体" w:eastAsia="宋体" w:cs="宋体"/>
          <w:color w:val="auto"/>
          <w:spacing w:val="0"/>
          <w:sz w:val="24"/>
          <w:szCs w:val="24"/>
        </w:rPr>
        <w:t>  4、招标内容及要求：详见《采购标的一览表》及招标文件第五章。</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需要落实的政府采购政策：进口产品，适用于（合同包1）。节能产品，适用于（合同包1），按照最新期节能清单执行（如遇政策调整则按最新政策执行）。环境标志产品，适用于（合同包1），按照最新期环境标志清单执行。信息安全产品，适用于（合同包1）。小型、微型企业，适用于（合同包1）。监狱企业，适用于（合同包1）。促进残疾人就业 ，适用于（合同包1）。信用记录，适用于（合同包1），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6、投标人的资格要求</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6.1法定条件：符合政府采购法第二十二条第一款规定的条件。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6.2特定条件：</w:t>
      </w:r>
      <w:r>
        <w:rPr>
          <w:rFonts w:hint="eastAsia" w:ascii="宋体" w:hAnsi="宋体" w:eastAsia="宋体" w:cs="宋体"/>
          <w:color w:val="auto"/>
          <w:spacing w:val="0"/>
          <w:sz w:val="24"/>
          <w:szCs w:val="24"/>
        </w:rPr>
        <w:br w:type="textWrapping"/>
      </w:r>
      <w:r>
        <w:rPr>
          <w:rStyle w:val="9"/>
          <w:rFonts w:hint="eastAsia" w:ascii="宋体" w:hAnsi="宋体" w:eastAsia="宋体" w:cs="宋体"/>
          <w:b/>
          <w:color w:val="auto"/>
          <w:spacing w:val="0"/>
          <w:sz w:val="24"/>
          <w:szCs w:val="24"/>
        </w:rPr>
        <w:t>包：1</w:t>
      </w:r>
    </w:p>
    <w:tbl>
      <w:tblPr>
        <w:tblStyle w:val="7"/>
        <w:tblW w:w="864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888"/>
        <w:gridCol w:w="475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PrEx>
        <w:trPr>
          <w:tblHeader/>
        </w:trPr>
        <w:tc>
          <w:tcPr>
            <w:tcW w:w="388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明细</w:t>
            </w:r>
          </w:p>
        </w:tc>
        <w:tc>
          <w:tcPr>
            <w:tcW w:w="475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PrEx>
        <w:tc>
          <w:tcPr>
            <w:tcW w:w="388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招标文件规定的其他资格证明文件</w:t>
            </w:r>
          </w:p>
        </w:tc>
        <w:tc>
          <w:tcPr>
            <w:tcW w:w="475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w:t>
            </w:r>
          </w:p>
        </w:tc>
      </w:tr>
    </w:tbl>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6.3是否接受联合体投标：不接受。</w:t>
      </w:r>
    </w:p>
    <w:p>
      <w:pPr>
        <w:pStyle w:val="6"/>
        <w:keepNext w:val="0"/>
        <w:keepLines w:val="0"/>
        <w:widowControl/>
        <w:suppressLineNumbers w:val="0"/>
        <w:spacing w:before="75" w:beforeAutospacing="0" w:after="75" w:afterAutospacing="0"/>
        <w:ind w:left="0" w:right="0" w:firstLine="480"/>
        <w:rPr>
          <w:color w:val="auto"/>
        </w:rPr>
      </w:pPr>
      <w:r>
        <w:rPr>
          <w:rStyle w:val="9"/>
          <w:rFonts w:hint="eastAsia" w:ascii="宋体" w:hAnsi="宋体" w:eastAsia="宋体" w:cs="宋体"/>
          <w:b/>
          <w:color w:val="auto"/>
          <w:spacing w:val="0"/>
          <w:sz w:val="24"/>
          <w:szCs w:val="24"/>
        </w:rPr>
        <w:t>※根据上述资格要求，投标文件中应提交的“投标人的资格及资信证明文件”详见招标文件第四章。</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7、报名</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7.1报名期限：详见招标公告或更正公告（若有），若不一致，以更正公告（若有）为准。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7.2报名期限内，供应商应通过福建省政府采购网上公开信息系统的注册账号（免费注册）对本项目进行报名(请根据项目所在地，登录对应的福建省政府采购网上公开信息系统报名(即省本级网址/地市分网))，否则</w:t>
      </w:r>
      <w:r>
        <w:rPr>
          <w:rStyle w:val="9"/>
          <w:rFonts w:hint="eastAsia" w:ascii="宋体" w:hAnsi="宋体" w:eastAsia="宋体" w:cs="宋体"/>
          <w:b/>
          <w:color w:val="auto"/>
          <w:spacing w:val="0"/>
          <w:sz w:val="24"/>
          <w:szCs w:val="24"/>
        </w:rPr>
        <w:t>投标将被拒绝。</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8、招标文件的获取</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8.1招标文件提供期限：详见招标公告或更正公告（若有），若不一致，以更正公告（若有）为准。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8.2获取地点及方式：报名后，通过福建省政府采购网上公开信息系统以下载方式获取。</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8.3、招标文件售价：</w:t>
      </w:r>
      <w:r>
        <w:rPr>
          <w:rFonts w:hint="default" w:ascii="Times New Roman" w:hAnsi="Times New Roman" w:cs="Times New Roman"/>
          <w:color w:val="auto"/>
          <w:spacing w:val="0"/>
          <w:sz w:val="24"/>
          <w:szCs w:val="24"/>
        </w:rPr>
        <w:t>0</w:t>
      </w:r>
      <w:r>
        <w:rPr>
          <w:rFonts w:hint="eastAsia" w:ascii="宋体" w:hAnsi="宋体" w:eastAsia="宋体" w:cs="宋体"/>
          <w:color w:val="auto"/>
          <w:spacing w:val="0"/>
          <w:sz w:val="24"/>
          <w:szCs w:val="24"/>
        </w:rPr>
        <w:t>元。</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9、投标截止</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9.1投标截止时间：详见招标公告或更正公告（若有），若不一致，以更正公告（若有）为准。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9.2投标人应在投标截止时间前按照福建省政府采购网上公开信息系统设定的操作流程将电子投标文件上传至福建省政府采购网上公开信息系统，同时将</w:t>
      </w:r>
      <w:r>
        <w:rPr>
          <w:rStyle w:val="9"/>
          <w:rFonts w:hint="eastAsia" w:ascii="宋体" w:hAnsi="宋体" w:eastAsia="宋体" w:cs="宋体"/>
          <w:b/>
          <w:color w:val="auto"/>
          <w:spacing w:val="0"/>
          <w:sz w:val="24"/>
          <w:szCs w:val="24"/>
        </w:rPr>
        <w:t>投标人的CA证书</w:t>
      </w:r>
      <w:r>
        <w:rPr>
          <w:rFonts w:hint="eastAsia" w:ascii="宋体" w:hAnsi="宋体" w:eastAsia="宋体" w:cs="宋体"/>
          <w:color w:val="auto"/>
          <w:spacing w:val="0"/>
          <w:sz w:val="24"/>
          <w:szCs w:val="24"/>
        </w:rPr>
        <w:t>连同</w:t>
      </w:r>
      <w:r>
        <w:rPr>
          <w:rStyle w:val="9"/>
          <w:rFonts w:hint="eastAsia" w:ascii="宋体" w:hAnsi="宋体" w:eastAsia="宋体" w:cs="宋体"/>
          <w:b/>
          <w:color w:val="auto"/>
          <w:spacing w:val="0"/>
          <w:sz w:val="24"/>
          <w:szCs w:val="24"/>
        </w:rPr>
        <w:t>密封的纸质投标文件</w:t>
      </w:r>
      <w:r>
        <w:rPr>
          <w:rFonts w:hint="eastAsia" w:ascii="宋体" w:hAnsi="宋体" w:eastAsia="宋体" w:cs="宋体"/>
          <w:color w:val="auto"/>
          <w:spacing w:val="0"/>
          <w:sz w:val="24"/>
          <w:szCs w:val="24"/>
        </w:rPr>
        <w:t>送达招标文件第一章第10条载明的地点，否则</w:t>
      </w:r>
      <w:r>
        <w:rPr>
          <w:rStyle w:val="9"/>
          <w:rFonts w:hint="eastAsia" w:ascii="宋体" w:hAnsi="宋体" w:eastAsia="宋体" w:cs="宋体"/>
          <w:b/>
          <w:color w:val="auto"/>
          <w:spacing w:val="0"/>
          <w:sz w:val="24"/>
          <w:szCs w:val="24"/>
        </w:rPr>
        <w:t>投标将被拒绝。</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10、开标时间及地点：详见招标公告或更正公告（若有），若不一致，以更正公告（若有）为准。</w:t>
      </w:r>
      <w:r>
        <w:rPr>
          <w:rStyle w:val="9"/>
          <w:rFonts w:hint="eastAsia" w:ascii="宋体" w:hAnsi="宋体" w:eastAsia="宋体" w:cs="宋体"/>
          <w:b/>
          <w:color w:val="auto"/>
          <w:spacing w:val="0"/>
          <w:sz w:val="24"/>
          <w:szCs w:val="24"/>
        </w:rPr>
        <w:t> </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11、公告期限</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11.1招标公告的公告期限：自财政部和福建省财政厅指定的政府采购信息发布媒体最先发布公告之日起</w:t>
      </w:r>
      <w:r>
        <w:rPr>
          <w:rFonts w:hint="default" w:ascii="Times New Roman" w:hAnsi="Times New Roman" w:cs="Times New Roman"/>
          <w:color w:val="auto"/>
          <w:spacing w:val="0"/>
          <w:sz w:val="24"/>
          <w:szCs w:val="24"/>
        </w:rPr>
        <w:t>5</w:t>
      </w:r>
      <w:r>
        <w:rPr>
          <w:rFonts w:hint="eastAsia" w:ascii="宋体" w:hAnsi="宋体" w:eastAsia="宋体" w:cs="宋体"/>
          <w:color w:val="auto"/>
          <w:spacing w:val="0"/>
          <w:sz w:val="24"/>
          <w:szCs w:val="24"/>
        </w:rPr>
        <w:t>个工作日。</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11.2招标文件公告期限：招标文件随同招标公告一并发布，其公告期限与本章第</w:t>
      </w:r>
      <w:r>
        <w:rPr>
          <w:rFonts w:hint="default" w:ascii="Times New Roman" w:hAnsi="Times New Roman" w:cs="Times New Roman"/>
          <w:color w:val="auto"/>
          <w:spacing w:val="0"/>
          <w:sz w:val="24"/>
          <w:szCs w:val="24"/>
        </w:rPr>
        <w:t>11.1</w:t>
      </w:r>
      <w:r>
        <w:rPr>
          <w:rFonts w:hint="eastAsia" w:ascii="宋体" w:hAnsi="宋体" w:eastAsia="宋体" w:cs="宋体"/>
          <w:color w:val="auto"/>
          <w:spacing w:val="0"/>
          <w:sz w:val="24"/>
          <w:szCs w:val="24"/>
        </w:rPr>
        <w:t>条载明的期限保持一致。</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12、采购人：福建医科大学</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地址：福建省福州市大学新区学府北路1号</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联系方法：059186218349</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13、代理机构：福建中实招标有限公司</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地址：福州市鼓楼区温泉街道华林路201号华林大厦410、411、412单元</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联系方法：胡文姬，0591-87767686-624，工作时间：每天上午8:00～12:00，下午14:30～17:30(公休、法定节假日除外)。</w:t>
      </w:r>
    </w:p>
    <w:p>
      <w:pPr>
        <w:pStyle w:val="6"/>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br w:type="textWrapping"/>
      </w:r>
      <w:r>
        <w:rPr>
          <w:rFonts w:hint="eastAsia" w:ascii="宋体" w:hAnsi="宋体" w:eastAsia="宋体" w:cs="宋体"/>
          <w:color w:val="auto"/>
          <w:spacing w:val="0"/>
          <w:sz w:val="24"/>
          <w:szCs w:val="24"/>
        </w:rPr>
        <w:t>附1：账户信息</w:t>
      </w:r>
    </w:p>
    <w:tbl>
      <w:tblPr>
        <w:tblStyle w:val="7"/>
        <w:tblW w:w="11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jc w:val="center"/>
        </w:trPr>
        <w:tc>
          <w:tcPr>
            <w:tcW w:w="1152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Style w:val="9"/>
                <w:rFonts w:hint="eastAsia" w:ascii="宋体" w:hAnsi="宋体" w:eastAsia="宋体" w:cs="宋体"/>
                <w:b/>
                <w:color w:val="auto"/>
                <w:spacing w:val="0"/>
                <w:sz w:val="24"/>
                <w:szCs w:val="24"/>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1152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开户名称：</w:t>
            </w:r>
            <w:r>
              <w:rPr>
                <w:rFonts w:hint="eastAsia" w:ascii="宋体" w:hAnsi="宋体" w:eastAsia="宋体" w:cs="宋体"/>
                <w:color w:val="auto"/>
                <w:spacing w:val="0"/>
                <w:sz w:val="24"/>
                <w:szCs w:val="24"/>
                <w:u w:val="single"/>
                <w:shd w:val="clear" w:fill="FFFFFF"/>
              </w:rPr>
              <w:t>福建中实招标有限公司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1152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开户银行：</w:t>
            </w:r>
            <w:r>
              <w:rPr>
                <w:rFonts w:hint="eastAsia" w:ascii="宋体" w:hAnsi="宋体" w:eastAsia="宋体" w:cs="宋体"/>
                <w:color w:val="auto"/>
                <w:spacing w:val="0"/>
                <w:sz w:val="24"/>
                <w:szCs w:val="24"/>
                <w:u w:val="none"/>
              </w:rPr>
              <w:t>供应商在福建省政府采购网上公开信息系统报名后，根据其提示自行选择要缴交的投标保证金托管银行</w:t>
            </w:r>
            <w:r>
              <w:rPr>
                <w:rFonts w:hint="eastAsia" w:ascii="宋体" w:hAnsi="宋体" w:eastAsia="宋体" w:cs="宋体"/>
                <w:color w:val="auto"/>
                <w:spacing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1152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银行账号：</w:t>
            </w:r>
            <w:r>
              <w:rPr>
                <w:rFonts w:hint="eastAsia" w:ascii="宋体" w:hAnsi="宋体" w:eastAsia="宋体" w:cs="宋体"/>
                <w:color w:val="auto"/>
                <w:spacing w:val="0"/>
                <w:sz w:val="24"/>
                <w:szCs w:val="24"/>
                <w:u w:val="none"/>
              </w:rPr>
              <w:t>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11520"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Style w:val="9"/>
                <w:rFonts w:hint="eastAsia" w:ascii="宋体" w:hAnsi="宋体" w:eastAsia="宋体" w:cs="宋体"/>
                <w:b/>
                <w:color w:val="auto"/>
                <w:spacing w:val="0"/>
                <w:sz w:val="24"/>
                <w:szCs w:val="24"/>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11520" w:type="dxa"/>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1、投标人应认真核对账户信息，将投标保证金汇入以上账户，并自行承担因汇错投标保证金而产生的一切后果。</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2、投标人在转账或电汇的凭证上应按照以下格式注明，以便核对：“（招标编号：</w:t>
            </w:r>
            <w:r>
              <w:rPr>
                <w:rFonts w:hint="default" w:ascii="Times New Roman" w:hAnsi="Times New Roman" w:cs="Times New Roman"/>
                <w:color w:val="auto"/>
                <w:spacing w:val="0"/>
                <w:sz w:val="24"/>
                <w:szCs w:val="24"/>
              </w:rPr>
              <w:t>***</w:t>
            </w:r>
            <w:r>
              <w:rPr>
                <w:rFonts w:hint="eastAsia" w:ascii="宋体" w:hAnsi="宋体" w:eastAsia="宋体" w:cs="宋体"/>
                <w:color w:val="auto"/>
                <w:spacing w:val="0"/>
                <w:sz w:val="24"/>
                <w:szCs w:val="24"/>
              </w:rPr>
              <w:t>、合同包：</w:t>
            </w:r>
            <w:r>
              <w:rPr>
                <w:rFonts w:hint="default" w:ascii="Times New Roman" w:hAnsi="Times New Roman" w:cs="Times New Roman"/>
                <w:color w:val="auto"/>
                <w:spacing w:val="0"/>
                <w:sz w:val="24"/>
                <w:szCs w:val="24"/>
              </w:rPr>
              <w:t>***</w:t>
            </w:r>
            <w:r>
              <w:rPr>
                <w:rFonts w:hint="eastAsia" w:ascii="宋体" w:hAnsi="宋体" w:eastAsia="宋体" w:cs="宋体"/>
                <w:color w:val="auto"/>
                <w:spacing w:val="0"/>
                <w:sz w:val="24"/>
                <w:szCs w:val="24"/>
              </w:rPr>
              <w:t>）的投标保证金”。</w:t>
            </w:r>
          </w:p>
        </w:tc>
      </w:tr>
    </w:tbl>
    <w:p>
      <w:pPr>
        <w:pStyle w:val="6"/>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6"/>
        <w:keepNext w:val="0"/>
        <w:keepLines w:val="0"/>
        <w:widowControl/>
        <w:suppressLineNumbers w:val="0"/>
        <w:spacing w:before="75" w:beforeAutospacing="0" w:after="75" w:afterAutospacing="0"/>
        <w:ind w:left="0" w:right="0" w:firstLine="480"/>
        <w:rPr>
          <w:color w:val="auto"/>
        </w:rPr>
      </w:pPr>
      <w:r>
        <w:rPr>
          <w:color w:val="auto"/>
          <w:spacing w:val="0"/>
          <w:sz w:val="24"/>
          <w:szCs w:val="24"/>
        </w:rPr>
        <w:t> </w:t>
      </w:r>
    </w:p>
    <w:p>
      <w:pPr>
        <w:pStyle w:val="6"/>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6"/>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附</w:t>
      </w:r>
      <w:r>
        <w:rPr>
          <w:color w:val="auto"/>
          <w:spacing w:val="0"/>
          <w:sz w:val="24"/>
          <w:szCs w:val="24"/>
        </w:rPr>
        <w:t>2</w:t>
      </w:r>
      <w:r>
        <w:rPr>
          <w:rFonts w:hint="eastAsia" w:ascii="宋体" w:hAnsi="宋体" w:eastAsia="宋体" w:cs="宋体"/>
          <w:color w:val="auto"/>
          <w:spacing w:val="0"/>
          <w:sz w:val="24"/>
          <w:szCs w:val="24"/>
        </w:rPr>
        <w:t>：采购标的一览表</w:t>
      </w:r>
    </w:p>
    <w:p>
      <w:pPr>
        <w:pStyle w:val="6"/>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6"/>
        <w:keepNext w:val="0"/>
        <w:keepLines w:val="0"/>
        <w:widowControl/>
        <w:suppressLineNumbers w:val="0"/>
        <w:spacing w:before="0" w:beforeAutospacing="0" w:after="150" w:afterAutospacing="0"/>
        <w:ind w:left="0" w:right="0"/>
        <w:jc w:val="right"/>
        <w:rPr>
          <w:color w:val="auto"/>
        </w:rPr>
      </w:pPr>
      <w:r>
        <w:rPr>
          <w:rFonts w:hint="eastAsia" w:ascii="宋体" w:hAnsi="宋体" w:eastAsia="宋体" w:cs="宋体"/>
          <w:color w:val="auto"/>
        </w:rPr>
        <w:t>金额单位：人民币元</w:t>
      </w:r>
    </w:p>
    <w:tbl>
      <w:tblPr>
        <w:tblStyle w:val="7"/>
        <w:tblW w:w="864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64"/>
        <w:gridCol w:w="864"/>
        <w:gridCol w:w="1728"/>
        <w:gridCol w:w="864"/>
        <w:gridCol w:w="864"/>
        <w:gridCol w:w="864"/>
        <w:gridCol w:w="864"/>
        <w:gridCol w:w="172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合同包</w:t>
            </w:r>
          </w:p>
        </w:tc>
        <w:tc>
          <w:tcPr>
            <w:tcW w:w="8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品目号</w:t>
            </w:r>
          </w:p>
        </w:tc>
        <w:tc>
          <w:tcPr>
            <w:tcW w:w="172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采购标的</w:t>
            </w:r>
          </w:p>
        </w:tc>
        <w:tc>
          <w:tcPr>
            <w:tcW w:w="8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允许进口</w:t>
            </w:r>
          </w:p>
        </w:tc>
        <w:tc>
          <w:tcPr>
            <w:tcW w:w="8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数量</w:t>
            </w:r>
          </w:p>
        </w:tc>
        <w:tc>
          <w:tcPr>
            <w:tcW w:w="8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品目号预算</w:t>
            </w:r>
          </w:p>
        </w:tc>
        <w:tc>
          <w:tcPr>
            <w:tcW w:w="8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合同包预算</w:t>
            </w:r>
          </w:p>
        </w:tc>
        <w:tc>
          <w:tcPr>
            <w:tcW w:w="172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8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1</w:t>
            </w:r>
          </w:p>
        </w:tc>
        <w:tc>
          <w:tcPr>
            <w:tcW w:w="5184" w:type="dxa"/>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7"/>
              <w:tblW w:w="5181" w:type="dxa"/>
              <w:jc w:val="center"/>
              <w:tblInd w:w="1"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77"/>
              <w:gridCol w:w="1555"/>
              <w:gridCol w:w="777"/>
              <w:gridCol w:w="777"/>
              <w:gridCol w:w="1295"/>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7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1-1</w:t>
                  </w:r>
                </w:p>
              </w:tc>
              <w:tc>
                <w:tcPr>
                  <w:tcW w:w="155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串联质谱仪</w:t>
                  </w:r>
                </w:p>
              </w:tc>
              <w:tc>
                <w:tcPr>
                  <w:tcW w:w="77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是</w:t>
                  </w:r>
                </w:p>
              </w:tc>
              <w:tc>
                <w:tcPr>
                  <w:tcW w:w="77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1（批）</w:t>
                  </w:r>
                </w:p>
              </w:tc>
              <w:tc>
                <w:tcPr>
                  <w:tcW w:w="129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6,490,000.0000</w:t>
                  </w:r>
                </w:p>
              </w:tc>
            </w:tr>
          </w:tbl>
          <w:p>
            <w:pPr>
              <w:jc w:val="center"/>
              <w:rPr>
                <w:color w:val="auto"/>
              </w:rPr>
            </w:pPr>
          </w:p>
        </w:tc>
        <w:tc>
          <w:tcPr>
            <w:tcW w:w="8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6490000</w:t>
            </w:r>
          </w:p>
        </w:tc>
        <w:tc>
          <w:tcPr>
            <w:tcW w:w="172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color w:val="auto"/>
              </w:rPr>
            </w:pPr>
            <w:r>
              <w:rPr>
                <w:rFonts w:ascii="宋体" w:hAnsi="宋体" w:eastAsia="宋体" w:cs="宋体"/>
                <w:color w:val="auto"/>
                <w:kern w:val="0"/>
                <w:sz w:val="24"/>
                <w:szCs w:val="24"/>
                <w:lang w:val="en-US" w:eastAsia="zh-CN" w:bidi="ar"/>
              </w:rPr>
              <w:t>129800</w:t>
            </w:r>
          </w:p>
        </w:tc>
      </w:tr>
    </w:tbl>
    <w:p>
      <w:pPr>
        <w:rPr>
          <w:rStyle w:val="9"/>
          <w:rFonts w:hint="eastAsia" w:ascii="宋体" w:hAnsi="宋体" w:eastAsia="宋体" w:cs="宋体"/>
          <w:b/>
          <w:color w:val="auto"/>
          <w:spacing w:val="0"/>
          <w:sz w:val="31"/>
          <w:szCs w:val="31"/>
        </w:rPr>
      </w:pPr>
      <w:r>
        <w:rPr>
          <w:rStyle w:val="9"/>
          <w:rFonts w:hint="eastAsia" w:ascii="宋体" w:hAnsi="宋体" w:eastAsia="宋体" w:cs="宋体"/>
          <w:b/>
          <w:color w:val="auto"/>
          <w:spacing w:val="0"/>
          <w:sz w:val="31"/>
          <w:szCs w:val="31"/>
        </w:rPr>
        <w:br w:type="page"/>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31"/>
          <w:szCs w:val="31"/>
        </w:rPr>
        <w:t>第二章</w:t>
      </w:r>
      <w:r>
        <w:rPr>
          <w:rStyle w:val="9"/>
          <w:b/>
          <w:color w:val="auto"/>
          <w:spacing w:val="0"/>
          <w:sz w:val="31"/>
          <w:szCs w:val="31"/>
        </w:rPr>
        <w:t>   </w:t>
      </w:r>
      <w:r>
        <w:rPr>
          <w:rStyle w:val="9"/>
          <w:rFonts w:hint="eastAsia" w:ascii="宋体" w:hAnsi="宋体" w:eastAsia="宋体" w:cs="宋体"/>
          <w:b/>
          <w:color w:val="auto"/>
          <w:spacing w:val="0"/>
          <w:sz w:val="31"/>
          <w:szCs w:val="31"/>
        </w:rPr>
        <w:t>投标人须知前附表（表1、</w:t>
      </w:r>
      <w:r>
        <w:rPr>
          <w:rStyle w:val="9"/>
          <w:rFonts w:hint="default" w:ascii="Times New Roman" w:hAnsi="Times New Roman" w:cs="Times New Roman"/>
          <w:b/>
          <w:color w:val="auto"/>
          <w:spacing w:val="0"/>
          <w:sz w:val="31"/>
          <w:szCs w:val="31"/>
        </w:rPr>
        <w:t>2</w:t>
      </w:r>
      <w:r>
        <w:rPr>
          <w:rStyle w:val="9"/>
          <w:rFonts w:hint="eastAsia" w:ascii="宋体" w:hAnsi="宋体" w:eastAsia="宋体" w:cs="宋体"/>
          <w:b/>
          <w:color w:val="auto"/>
          <w:spacing w:val="0"/>
          <w:sz w:val="31"/>
          <w:szCs w:val="31"/>
        </w:rPr>
        <w:t>）</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表</w:t>
      </w:r>
      <w:r>
        <w:rPr>
          <w:color w:val="auto"/>
          <w:spacing w:val="0"/>
          <w:sz w:val="24"/>
          <w:szCs w:val="24"/>
        </w:rPr>
        <w:t>1</w:t>
      </w:r>
    </w:p>
    <w:tbl>
      <w:tblPr>
        <w:tblStyle w:val="7"/>
        <w:tblW w:w="88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478"/>
        <w:gridCol w:w="1425"/>
        <w:gridCol w:w="6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03" w:hRule="atLeast"/>
          <w:jc w:val="center"/>
        </w:trPr>
        <w:tc>
          <w:tcPr>
            <w:tcW w:w="8820" w:type="dxa"/>
            <w:gridSpan w:val="3"/>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bookmarkStart w:id="3" w:name="_GoBack"/>
            <w:r>
              <w:rPr>
                <w:rStyle w:val="9"/>
                <w:rFonts w:hint="eastAsia" w:ascii="宋体" w:hAnsi="宋体" w:eastAsia="宋体" w:cs="宋体"/>
                <w:b/>
                <w:color w:val="auto"/>
                <w:spacing w:val="0"/>
                <w:sz w:val="24"/>
                <w:szCs w:val="24"/>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96" w:hRule="atLeast"/>
          <w:jc w:val="center"/>
        </w:trPr>
        <w:tc>
          <w:tcPr>
            <w:tcW w:w="478"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项号</w:t>
            </w:r>
          </w:p>
        </w:tc>
        <w:tc>
          <w:tcPr>
            <w:tcW w:w="142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招标文件</w:t>
            </w:r>
          </w:p>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（第三章）</w:t>
            </w:r>
          </w:p>
        </w:tc>
        <w:tc>
          <w:tcPr>
            <w:tcW w:w="691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3" w:hRule="atLeast"/>
          <w:jc w:val="center"/>
        </w:trPr>
        <w:tc>
          <w:tcPr>
            <w:tcW w:w="478"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w:t>
            </w:r>
          </w:p>
        </w:tc>
        <w:tc>
          <w:tcPr>
            <w:tcW w:w="142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6.1</w:t>
            </w:r>
          </w:p>
        </w:tc>
        <w:tc>
          <w:tcPr>
            <w:tcW w:w="691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rPr>
                <w:color w:val="auto"/>
              </w:rPr>
            </w:pPr>
            <w:r>
              <w:rPr>
                <w:rStyle w:val="9"/>
                <w:rFonts w:hint="eastAsia" w:ascii="宋体" w:hAnsi="宋体" w:eastAsia="宋体" w:cs="宋体"/>
                <w:b/>
                <w:color w:val="auto"/>
                <w:spacing w:val="0"/>
                <w:sz w:val="24"/>
                <w:szCs w:val="24"/>
              </w:rPr>
              <w:t>是否组织现场考察或召开开标前答疑会：</w:t>
            </w:r>
            <w:r>
              <w:rPr>
                <w:rFonts w:hint="eastAsia" w:ascii="宋体" w:hAnsi="宋体" w:eastAsia="宋体" w:cs="宋体"/>
                <w:color w:val="auto"/>
                <w:spacing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1" w:hRule="atLeast"/>
          <w:jc w:val="center"/>
        </w:trPr>
        <w:tc>
          <w:tcPr>
            <w:tcW w:w="478"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2</w:t>
            </w:r>
          </w:p>
        </w:tc>
        <w:tc>
          <w:tcPr>
            <w:tcW w:w="142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10.4</w:t>
            </w:r>
          </w:p>
        </w:tc>
        <w:tc>
          <w:tcPr>
            <w:tcW w:w="691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rPr>
                <w:color w:val="auto"/>
              </w:rPr>
            </w:pPr>
            <w:r>
              <w:rPr>
                <w:rStyle w:val="9"/>
                <w:rFonts w:hint="eastAsia" w:ascii="宋体" w:hAnsi="宋体" w:eastAsia="宋体" w:cs="宋体"/>
                <w:b/>
                <w:color w:val="auto"/>
                <w:spacing w:val="0"/>
                <w:sz w:val="24"/>
                <w:szCs w:val="24"/>
              </w:rPr>
              <w:t>投标文件的份数：</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（1）纸质投标文件：</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①资格及资信证明部分的正本</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份、副本</w:t>
            </w:r>
            <w:r>
              <w:rPr>
                <w:rFonts w:hint="eastAsia" w:ascii="宋体" w:hAnsi="宋体" w:eastAsia="宋体" w:cs="宋体"/>
                <w:color w:val="auto"/>
                <w:spacing w:val="0"/>
                <w:sz w:val="24"/>
                <w:szCs w:val="24"/>
                <w:u w:val="single"/>
              </w:rPr>
              <w:t>2</w:t>
            </w:r>
            <w:r>
              <w:rPr>
                <w:rFonts w:hint="eastAsia" w:ascii="宋体" w:hAnsi="宋体" w:eastAsia="宋体" w:cs="宋体"/>
                <w:color w:val="auto"/>
                <w:spacing w:val="0"/>
                <w:sz w:val="24"/>
                <w:szCs w:val="24"/>
              </w:rPr>
              <w:t>份，报价部分的正本</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份、副本</w:t>
            </w:r>
            <w:r>
              <w:rPr>
                <w:rFonts w:hint="eastAsia" w:ascii="宋体" w:hAnsi="宋体" w:eastAsia="宋体" w:cs="宋体"/>
                <w:color w:val="auto"/>
                <w:spacing w:val="0"/>
                <w:sz w:val="24"/>
                <w:szCs w:val="24"/>
                <w:u w:val="single"/>
              </w:rPr>
              <w:t>2</w:t>
            </w:r>
            <w:r>
              <w:rPr>
                <w:rFonts w:hint="eastAsia" w:ascii="宋体" w:hAnsi="宋体" w:eastAsia="宋体" w:cs="宋体"/>
                <w:color w:val="auto"/>
                <w:spacing w:val="0"/>
                <w:sz w:val="24"/>
                <w:szCs w:val="24"/>
              </w:rPr>
              <w:t>份，技术商务部分的正本</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份、副本</w:t>
            </w:r>
            <w:r>
              <w:rPr>
                <w:rFonts w:hint="eastAsia" w:ascii="宋体" w:hAnsi="宋体" w:eastAsia="宋体" w:cs="宋体"/>
                <w:color w:val="auto"/>
                <w:spacing w:val="0"/>
                <w:sz w:val="24"/>
                <w:szCs w:val="24"/>
                <w:u w:val="single"/>
              </w:rPr>
              <w:t>2</w:t>
            </w:r>
            <w:r>
              <w:rPr>
                <w:rFonts w:hint="eastAsia" w:ascii="宋体" w:hAnsi="宋体" w:eastAsia="宋体" w:cs="宋体"/>
                <w:color w:val="auto"/>
                <w:spacing w:val="0"/>
                <w:sz w:val="24"/>
                <w:szCs w:val="24"/>
              </w:rPr>
              <w:t>份。</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②可读介质（光盘或</w:t>
            </w:r>
            <w:r>
              <w:rPr>
                <w:rFonts w:hint="default" w:ascii="Times New Roman" w:hAnsi="Times New Roman" w:cs="Times New Roman"/>
                <w:color w:val="auto"/>
                <w:spacing w:val="0"/>
                <w:sz w:val="24"/>
                <w:szCs w:val="24"/>
              </w:rPr>
              <w:t>U</w:t>
            </w:r>
            <w:r>
              <w:rPr>
                <w:rFonts w:hint="eastAsia" w:ascii="宋体" w:hAnsi="宋体" w:eastAsia="宋体" w:cs="宋体"/>
                <w:color w:val="auto"/>
                <w:spacing w:val="0"/>
                <w:sz w:val="24"/>
                <w:szCs w:val="24"/>
              </w:rPr>
              <w:t>盘）</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份：投标人应将其上传至福建省政府采购网上公开信息系统的电子投标文件在该可读介质中另存</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份。</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（2）电子投标文件：详见表</w:t>
            </w:r>
            <w:r>
              <w:rPr>
                <w:rFonts w:hint="default" w:ascii="Times New Roman" w:hAnsi="Times New Roman" w:cs="Times New Roman"/>
                <w:color w:val="auto"/>
                <w:spacing w:val="0"/>
                <w:sz w:val="24"/>
                <w:szCs w:val="24"/>
              </w:rPr>
              <w:t>2</w:t>
            </w:r>
            <w:r>
              <w:rPr>
                <w:rFonts w:hint="eastAsia" w:ascii="宋体" w:hAnsi="宋体" w:eastAsia="宋体" w:cs="宋体"/>
                <w:color w:val="auto"/>
                <w:spacing w:val="0"/>
                <w:sz w:val="24"/>
                <w:szCs w:val="24"/>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89" w:hRule="atLeast"/>
          <w:jc w:val="center"/>
        </w:trPr>
        <w:tc>
          <w:tcPr>
            <w:tcW w:w="478"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3</w:t>
            </w:r>
          </w:p>
        </w:tc>
        <w:tc>
          <w:tcPr>
            <w:tcW w:w="142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10.5-（</w:t>
            </w:r>
            <w:r>
              <w:rPr>
                <w:rFonts w:hint="default" w:ascii="Times New Roman" w:hAnsi="Times New Roman" w:cs="Times New Roman"/>
                <w:color w:val="auto"/>
                <w:spacing w:val="0"/>
                <w:sz w:val="24"/>
                <w:szCs w:val="24"/>
              </w:rPr>
              <w:t>2</w:t>
            </w:r>
            <w:r>
              <w:rPr>
                <w:rFonts w:hint="eastAsia" w:ascii="宋体" w:hAnsi="宋体" w:eastAsia="宋体" w:cs="宋体"/>
                <w:color w:val="auto"/>
                <w:spacing w:val="0"/>
                <w:sz w:val="24"/>
                <w:szCs w:val="24"/>
              </w:rPr>
              <w:t>）</w:t>
            </w:r>
            <w:r>
              <w:rPr>
                <w:rFonts w:hint="default" w:ascii="Times New Roman" w:hAnsi="Times New Roman" w:cs="Times New Roman"/>
                <w:color w:val="auto"/>
                <w:spacing w:val="0"/>
                <w:sz w:val="24"/>
                <w:szCs w:val="24"/>
              </w:rPr>
              <w:t>-</w:t>
            </w:r>
            <w:r>
              <w:rPr>
                <w:rFonts w:hint="eastAsia" w:ascii="宋体" w:hAnsi="宋体" w:eastAsia="宋体" w:cs="宋体"/>
                <w:color w:val="auto"/>
                <w:spacing w:val="0"/>
                <w:sz w:val="24"/>
                <w:szCs w:val="24"/>
              </w:rPr>
              <w:t>③</w:t>
            </w:r>
          </w:p>
        </w:tc>
        <w:tc>
          <w:tcPr>
            <w:tcW w:w="691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rPr>
                <w:color w:val="auto"/>
              </w:rPr>
            </w:pPr>
            <w:r>
              <w:rPr>
                <w:rStyle w:val="9"/>
                <w:rFonts w:hint="eastAsia" w:ascii="宋体" w:hAnsi="宋体" w:eastAsia="宋体" w:cs="宋体"/>
                <w:b/>
                <w:color w:val="auto"/>
                <w:spacing w:val="0"/>
                <w:sz w:val="24"/>
                <w:szCs w:val="24"/>
              </w:rPr>
              <w:t>允许散装或活页装订的内容或材料：</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（1）投标文件的补充、修改或撤回；</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96" w:hRule="atLeast"/>
          <w:jc w:val="center"/>
        </w:trPr>
        <w:tc>
          <w:tcPr>
            <w:tcW w:w="478"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4</w:t>
            </w:r>
          </w:p>
        </w:tc>
        <w:tc>
          <w:tcPr>
            <w:tcW w:w="142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 10.7-（</w:t>
            </w:r>
            <w:r>
              <w:rPr>
                <w:rFonts w:hint="default" w:ascii="Times New Roman" w:hAnsi="Times New Roman" w:cs="Times New Roman"/>
                <w:color w:val="auto"/>
                <w:spacing w:val="0"/>
                <w:sz w:val="24"/>
                <w:szCs w:val="24"/>
              </w:rPr>
              <w:t>1</w:t>
            </w:r>
            <w:r>
              <w:rPr>
                <w:rFonts w:hint="eastAsia" w:ascii="宋体" w:hAnsi="宋体" w:eastAsia="宋体" w:cs="宋体"/>
                <w:color w:val="auto"/>
                <w:spacing w:val="0"/>
                <w:sz w:val="24"/>
                <w:szCs w:val="24"/>
              </w:rPr>
              <w:t>）</w:t>
            </w:r>
          </w:p>
        </w:tc>
        <w:tc>
          <w:tcPr>
            <w:tcW w:w="691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rPr>
                <w:color w:val="auto"/>
              </w:rPr>
            </w:pPr>
            <w:r>
              <w:rPr>
                <w:rStyle w:val="9"/>
                <w:rFonts w:hint="eastAsia" w:ascii="宋体" w:hAnsi="宋体" w:eastAsia="宋体" w:cs="宋体"/>
                <w:b/>
                <w:color w:val="auto"/>
                <w:spacing w:val="0"/>
                <w:sz w:val="24"/>
                <w:szCs w:val="24"/>
              </w:rPr>
              <w:t>是否允许中标人将本项目的非主体、非关键性工作进行分包：</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3" w:hRule="atLeast"/>
          <w:jc w:val="center"/>
        </w:trPr>
        <w:tc>
          <w:tcPr>
            <w:tcW w:w="478"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5</w:t>
            </w:r>
          </w:p>
        </w:tc>
        <w:tc>
          <w:tcPr>
            <w:tcW w:w="142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10.8-（</w:t>
            </w:r>
            <w:r>
              <w:rPr>
                <w:rFonts w:ascii="Calibri" w:hAnsi="Calibri" w:cs="Calibri"/>
                <w:color w:val="auto"/>
                <w:spacing w:val="0"/>
                <w:sz w:val="24"/>
                <w:szCs w:val="24"/>
              </w:rPr>
              <w:t>1</w:t>
            </w:r>
            <w:r>
              <w:rPr>
                <w:rFonts w:hint="eastAsia" w:ascii="宋体" w:hAnsi="宋体" w:eastAsia="宋体" w:cs="宋体"/>
                <w:color w:val="auto"/>
                <w:spacing w:val="0"/>
                <w:sz w:val="24"/>
                <w:szCs w:val="24"/>
              </w:rPr>
              <w:t>）</w:t>
            </w:r>
          </w:p>
        </w:tc>
        <w:tc>
          <w:tcPr>
            <w:tcW w:w="691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rPr>
                <w:color w:val="auto"/>
              </w:rPr>
            </w:pPr>
            <w:r>
              <w:rPr>
                <w:rStyle w:val="9"/>
                <w:rFonts w:hint="eastAsia" w:ascii="宋体" w:hAnsi="宋体" w:eastAsia="宋体" w:cs="宋体"/>
                <w:b/>
                <w:color w:val="auto"/>
                <w:spacing w:val="0"/>
                <w:sz w:val="24"/>
                <w:szCs w:val="24"/>
              </w:rPr>
              <w:t>投标有效期</w:t>
            </w:r>
            <w:r>
              <w:rPr>
                <w:rFonts w:hint="eastAsia" w:ascii="宋体" w:hAnsi="宋体" w:eastAsia="宋体" w:cs="宋体"/>
                <w:color w:val="auto"/>
                <w:spacing w:val="0"/>
                <w:sz w:val="24"/>
                <w:szCs w:val="24"/>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061" w:hRule="atLeast"/>
          <w:jc w:val="center"/>
        </w:trPr>
        <w:tc>
          <w:tcPr>
            <w:tcW w:w="478"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6</w:t>
            </w:r>
          </w:p>
        </w:tc>
        <w:tc>
          <w:tcPr>
            <w:tcW w:w="142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10.10-（</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w:t>
            </w:r>
          </w:p>
        </w:tc>
        <w:tc>
          <w:tcPr>
            <w:tcW w:w="691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rPr>
                <w:color w:val="auto"/>
              </w:rPr>
            </w:pPr>
            <w:r>
              <w:rPr>
                <w:rStyle w:val="9"/>
                <w:rFonts w:hint="eastAsia" w:ascii="宋体" w:hAnsi="宋体" w:eastAsia="宋体" w:cs="宋体"/>
                <w:b/>
                <w:color w:val="auto"/>
                <w:spacing w:val="0"/>
                <w:sz w:val="24"/>
                <w:szCs w:val="24"/>
              </w:rPr>
              <w:t>密封及其标记的具体形式：</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（1）全部纸质投标文件（包括正本、副本及可读介质）均应密封，否则</w:t>
            </w:r>
            <w:r>
              <w:rPr>
                <w:rStyle w:val="9"/>
                <w:rFonts w:hint="eastAsia" w:ascii="宋体" w:hAnsi="宋体" w:eastAsia="宋体" w:cs="宋体"/>
                <w:b/>
                <w:color w:val="auto"/>
                <w:spacing w:val="0"/>
                <w:sz w:val="24"/>
                <w:szCs w:val="24"/>
              </w:rPr>
              <w:t>投标将被拒绝。</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（2）密封的外包装应至少标记“项目名称、招标编号、所投合同包、投标人的全称”等内容，否则造成投标文件误投、遗漏或提前拆封的，</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不承担责任。</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（3）其他：无。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3" w:hRule="atLeast"/>
          <w:jc w:val="center"/>
        </w:trPr>
        <w:tc>
          <w:tcPr>
            <w:tcW w:w="478"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7</w:t>
            </w:r>
          </w:p>
        </w:tc>
        <w:tc>
          <w:tcPr>
            <w:tcW w:w="142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12.1</w:t>
            </w:r>
          </w:p>
        </w:tc>
        <w:tc>
          <w:tcPr>
            <w:tcW w:w="691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本项目推荐合同包1中标候选人数为1家。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81" w:hRule="atLeast"/>
          <w:jc w:val="center"/>
        </w:trPr>
        <w:tc>
          <w:tcPr>
            <w:tcW w:w="478" w:type="dxa"/>
            <w:shd w:val="clear" w:color="auto" w:fill="auto"/>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rPr>
                <w:color w:val="auto"/>
              </w:rPr>
            </w:pPr>
            <w:r>
              <w:rPr>
                <w:color w:val="auto"/>
                <w:spacing w:val="0"/>
                <w:sz w:val="24"/>
                <w:szCs w:val="24"/>
              </w:rPr>
              <w:t>  8</w:t>
            </w:r>
          </w:p>
        </w:tc>
        <w:tc>
          <w:tcPr>
            <w:tcW w:w="1425" w:type="dxa"/>
            <w:shd w:val="clear" w:color="auto" w:fill="auto"/>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rPr>
                <w:color w:val="auto"/>
              </w:rPr>
            </w:pPr>
            <w:r>
              <w:rPr>
                <w:color w:val="auto"/>
                <w:spacing w:val="0"/>
                <w:sz w:val="24"/>
                <w:szCs w:val="24"/>
              </w:rPr>
              <w:t>  </w:t>
            </w:r>
            <w:r>
              <w:rPr>
                <w:rFonts w:hint="eastAsia" w:ascii="宋体" w:hAnsi="宋体" w:eastAsia="宋体" w:cs="宋体"/>
                <w:color w:val="auto"/>
                <w:spacing w:val="0"/>
                <w:sz w:val="24"/>
                <w:szCs w:val="24"/>
              </w:rPr>
              <w:t>12.2</w:t>
            </w:r>
          </w:p>
        </w:tc>
        <w:tc>
          <w:tcPr>
            <w:tcW w:w="6917" w:type="dxa"/>
            <w:shd w:val="clear" w:color="auto" w:fill="auto"/>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rPr>
                <w:color w:val="auto"/>
              </w:rPr>
            </w:pPr>
            <w:r>
              <w:rPr>
                <w:rStyle w:val="9"/>
                <w:rFonts w:hint="eastAsia" w:ascii="宋体" w:hAnsi="宋体" w:eastAsia="宋体" w:cs="宋体"/>
                <w:b/>
                <w:color w:val="auto"/>
                <w:spacing w:val="0"/>
                <w:sz w:val="24"/>
                <w:szCs w:val="24"/>
              </w:rPr>
              <w:t>本项目中标人的确定（以合同包为单位）：</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（1）采购人应在政府采购招投标管理办法规定的时限内确定中标人。</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（2）若出现中标候选人并列情形，则按照下列方式确定中标人：</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①招标文件规定的方式：</w:t>
            </w:r>
            <w:r>
              <w:rPr>
                <w:color w:val="auto"/>
                <w:spacing w:val="0"/>
                <w:sz w:val="24"/>
                <w:szCs w:val="24"/>
              </w:rPr>
              <w:t>无。</w:t>
            </w:r>
            <w:r>
              <w:rPr>
                <w:rFonts w:hint="eastAsia" w:ascii="宋体" w:hAnsi="宋体" w:eastAsia="宋体" w:cs="宋体"/>
                <w:color w:val="auto"/>
                <w:spacing w:val="0"/>
                <w:sz w:val="24"/>
                <w:szCs w:val="24"/>
              </w:rPr>
              <w:t>。</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②若本款第①点规定方式为“无”，则按照下列方式确定：无。。</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③若本款第①、②点规定方式均为“无”，则按照下列方式确定：随机抽取。</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（3）本项目确定的中标人家数：</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①本项目确定合同包1中标人数为1家；</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②若出现中标候选人符合法定家数但不足本款第①点规定中标人家数情形，则按照中标候选人的实际家数确定中标人。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3" w:hRule="atLeast"/>
          <w:jc w:val="center"/>
        </w:trPr>
        <w:tc>
          <w:tcPr>
            <w:tcW w:w="478"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9</w:t>
            </w:r>
          </w:p>
        </w:tc>
        <w:tc>
          <w:tcPr>
            <w:tcW w:w="142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 15.1-（</w:t>
            </w:r>
            <w:r>
              <w:rPr>
                <w:rFonts w:hint="default" w:ascii="Times New Roman" w:hAnsi="Times New Roman" w:cs="Times New Roman"/>
                <w:color w:val="auto"/>
                <w:spacing w:val="0"/>
                <w:sz w:val="24"/>
                <w:szCs w:val="24"/>
              </w:rPr>
              <w:t>2</w:t>
            </w:r>
            <w:r>
              <w:rPr>
                <w:rFonts w:hint="eastAsia" w:ascii="宋体" w:hAnsi="宋体" w:eastAsia="宋体" w:cs="宋体"/>
                <w:color w:val="auto"/>
                <w:spacing w:val="0"/>
                <w:sz w:val="24"/>
                <w:szCs w:val="24"/>
              </w:rPr>
              <w:t>）</w:t>
            </w:r>
          </w:p>
        </w:tc>
        <w:tc>
          <w:tcPr>
            <w:tcW w:w="6917" w:type="dxa"/>
            <w:shd w:val="clear" w:color="auto" w:fill="auto"/>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rPr>
                <w:color w:val="auto"/>
              </w:rPr>
            </w:pPr>
            <w:r>
              <w:rPr>
                <w:rStyle w:val="9"/>
                <w:rFonts w:hint="eastAsia" w:ascii="宋体" w:hAnsi="宋体" w:eastAsia="宋体" w:cs="宋体"/>
                <w:b/>
                <w:color w:val="auto"/>
                <w:spacing w:val="0"/>
                <w:sz w:val="24"/>
                <w:szCs w:val="24"/>
              </w:rPr>
              <w:t>质疑函原件应采用下列方式提交：</w:t>
            </w:r>
            <w:r>
              <w:rPr>
                <w:rFonts w:hint="eastAsia" w:ascii="宋体" w:hAnsi="宋体" w:eastAsia="宋体" w:cs="宋体"/>
                <w:color w:val="auto"/>
                <w:spacing w:val="0"/>
                <w:sz w:val="24"/>
                <w:szCs w:val="24"/>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82" w:hRule="atLeast"/>
          <w:jc w:val="center"/>
        </w:trPr>
        <w:tc>
          <w:tcPr>
            <w:tcW w:w="478"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10</w:t>
            </w:r>
          </w:p>
        </w:tc>
        <w:tc>
          <w:tcPr>
            <w:tcW w:w="142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   15.4</w:t>
            </w:r>
          </w:p>
          <w:p>
            <w:pPr>
              <w:pStyle w:val="6"/>
              <w:keepNext w:val="0"/>
              <w:keepLines w:val="0"/>
              <w:widowControl/>
              <w:suppressLineNumbers w:val="0"/>
              <w:spacing w:before="0" w:beforeAutospacing="0" w:after="0" w:afterAutospacing="0"/>
              <w:ind w:left="0" w:right="0"/>
              <w:rPr>
                <w:color w:val="auto"/>
              </w:rPr>
            </w:pPr>
            <w:r>
              <w:rPr>
                <w:rFonts w:hint="default" w:ascii="Calibri" w:hAnsi="Calibri" w:cs="Calibri"/>
                <w:color w:val="auto"/>
                <w:spacing w:val="0"/>
                <w:sz w:val="24"/>
                <w:szCs w:val="24"/>
              </w:rPr>
              <w:t> </w:t>
            </w:r>
          </w:p>
          <w:p>
            <w:pPr>
              <w:pStyle w:val="6"/>
              <w:keepNext w:val="0"/>
              <w:keepLines w:val="0"/>
              <w:widowControl/>
              <w:suppressLineNumbers w:val="0"/>
              <w:spacing w:before="0" w:beforeAutospacing="0" w:after="0" w:afterAutospacing="0"/>
              <w:ind w:left="0" w:right="0"/>
              <w:jc w:val="center"/>
              <w:rPr>
                <w:color w:val="auto"/>
              </w:rPr>
            </w:pPr>
            <w:r>
              <w:rPr>
                <w:rFonts w:hint="default" w:ascii="Calibri" w:hAnsi="Calibri" w:cs="Calibri"/>
                <w:color w:val="auto"/>
                <w:spacing w:val="0"/>
                <w:sz w:val="24"/>
                <w:szCs w:val="24"/>
              </w:rPr>
              <w:t> </w:t>
            </w:r>
          </w:p>
        </w:tc>
        <w:tc>
          <w:tcPr>
            <w:tcW w:w="691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rPr>
                <w:color w:val="auto"/>
              </w:rPr>
            </w:pPr>
            <w:r>
              <w:rPr>
                <w:rStyle w:val="9"/>
                <w:rFonts w:hint="eastAsia" w:ascii="宋体" w:hAnsi="宋体" w:eastAsia="宋体" w:cs="宋体"/>
                <w:b/>
                <w:color w:val="auto"/>
                <w:spacing w:val="0"/>
                <w:sz w:val="24"/>
                <w:szCs w:val="24"/>
              </w:rPr>
              <w:t>招标文件的质疑</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（1）潜在投标人可在质疑时效期间内对招标文件以书面形式提出质疑。</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（2）质疑时效期间：</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①在招标文件公告期限内：自招标文件首次下载之日起</w:t>
            </w:r>
            <w:r>
              <w:rPr>
                <w:rFonts w:hint="default" w:ascii="Times New Roman" w:hAnsi="Times New Roman" w:cs="Times New Roman"/>
                <w:color w:val="auto"/>
                <w:spacing w:val="0"/>
                <w:sz w:val="24"/>
                <w:szCs w:val="24"/>
              </w:rPr>
              <w:t>7</w:t>
            </w:r>
            <w:r>
              <w:rPr>
                <w:rFonts w:hint="eastAsia" w:ascii="宋体" w:hAnsi="宋体" w:eastAsia="宋体" w:cs="宋体"/>
                <w:color w:val="auto"/>
                <w:spacing w:val="0"/>
                <w:sz w:val="24"/>
                <w:szCs w:val="24"/>
              </w:rPr>
              <w:t>个工作日内向</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提出，招标文件公告期限、首次下载之日均以福建省政府采购网上公开信息系统记载的为准。</w:t>
            </w:r>
          </w:p>
          <w:p>
            <w:pPr>
              <w:pStyle w:val="6"/>
              <w:keepNext w:val="0"/>
              <w:keepLines w:val="0"/>
              <w:widowControl/>
              <w:suppressLineNumbers w:val="0"/>
              <w:spacing w:before="0" w:beforeAutospacing="0" w:after="0" w:afterAutospacing="0"/>
              <w:ind w:left="0" w:right="0"/>
              <w:rPr>
                <w:color w:val="auto"/>
              </w:rPr>
            </w:pPr>
            <w:r>
              <w:rPr>
                <w:rFonts w:hint="eastAsia" w:ascii="宋体" w:hAnsi="宋体" w:eastAsia="宋体" w:cs="宋体"/>
                <w:color w:val="auto"/>
                <w:spacing w:val="0"/>
                <w:sz w:val="24"/>
                <w:szCs w:val="24"/>
              </w:rPr>
              <w:t>②在招标文件公告期限截止后至招标文件提供期限届满前的期间内：自招标文件公告期限届满之日起</w:t>
            </w:r>
            <w:r>
              <w:rPr>
                <w:rFonts w:hint="default" w:ascii="Times New Roman" w:hAnsi="Times New Roman" w:cs="Times New Roman"/>
                <w:color w:val="auto"/>
                <w:spacing w:val="0"/>
                <w:sz w:val="24"/>
                <w:szCs w:val="24"/>
              </w:rPr>
              <w:t>7</w:t>
            </w:r>
            <w:r>
              <w:rPr>
                <w:rFonts w:hint="eastAsia" w:ascii="宋体" w:hAnsi="宋体" w:eastAsia="宋体" w:cs="宋体"/>
                <w:color w:val="auto"/>
                <w:spacing w:val="0"/>
                <w:sz w:val="24"/>
                <w:szCs w:val="24"/>
              </w:rPr>
              <w:t>个工作日内向</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提出，招标文件公告期限、招标文件提供期限均以福建省政府采购网上公开信息系统记载的为准。</w:t>
            </w:r>
          </w:p>
          <w:p>
            <w:pPr>
              <w:pStyle w:val="6"/>
              <w:keepNext w:val="0"/>
              <w:keepLines w:val="0"/>
              <w:widowControl/>
              <w:suppressLineNumbers w:val="0"/>
              <w:spacing w:before="0" w:beforeAutospacing="0" w:after="0" w:afterAutospacing="0"/>
              <w:ind w:left="0" w:right="0"/>
              <w:rPr>
                <w:color w:val="auto"/>
              </w:rPr>
            </w:pPr>
            <w:r>
              <w:rPr>
                <w:rStyle w:val="9"/>
                <w:rFonts w:hint="eastAsia" w:ascii="宋体" w:hAnsi="宋体" w:eastAsia="宋体" w:cs="宋体"/>
                <w:b/>
                <w:color w:val="auto"/>
                <w:spacing w:val="0"/>
                <w:sz w:val="24"/>
                <w:szCs w:val="24"/>
              </w:rPr>
              <w:t>※除上述规定外，对招标文件提出的质疑还应符合招标文件第三章第</w:t>
            </w:r>
            <w:r>
              <w:rPr>
                <w:rStyle w:val="9"/>
                <w:rFonts w:hint="default" w:ascii="Times New Roman" w:hAnsi="Times New Roman" w:cs="Times New Roman"/>
                <w:b/>
                <w:color w:val="auto"/>
                <w:spacing w:val="0"/>
                <w:sz w:val="24"/>
                <w:szCs w:val="24"/>
              </w:rPr>
              <w:t>15.1</w:t>
            </w:r>
            <w:r>
              <w:rPr>
                <w:rStyle w:val="9"/>
                <w:rFonts w:hint="eastAsia" w:ascii="宋体" w:hAnsi="宋体" w:eastAsia="宋体" w:cs="宋体"/>
                <w:b/>
                <w:color w:val="auto"/>
                <w:spacing w:val="0"/>
                <w:sz w:val="24"/>
                <w:szCs w:val="24"/>
              </w:rPr>
              <w:t>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03" w:hRule="atLeast"/>
          <w:jc w:val="center"/>
        </w:trPr>
        <w:tc>
          <w:tcPr>
            <w:tcW w:w="478"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11</w:t>
            </w:r>
          </w:p>
        </w:tc>
        <w:tc>
          <w:tcPr>
            <w:tcW w:w="142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16.1</w:t>
            </w:r>
          </w:p>
        </w:tc>
        <w:tc>
          <w:tcPr>
            <w:tcW w:w="6917"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rPr>
                <w:color w:val="auto"/>
              </w:rPr>
            </w:pPr>
            <w:r>
              <w:rPr>
                <w:rStyle w:val="9"/>
                <w:rFonts w:hint="eastAsia" w:ascii="宋体" w:hAnsi="宋体" w:eastAsia="宋体" w:cs="宋体"/>
                <w:b/>
                <w:color w:val="auto"/>
                <w:spacing w:val="0"/>
                <w:sz w:val="24"/>
                <w:szCs w:val="24"/>
              </w:rPr>
              <w:t>监督管理部门：</w:t>
            </w:r>
            <w:r>
              <w:rPr>
                <w:rFonts w:hint="eastAsia" w:ascii="宋体" w:hAnsi="宋体" w:eastAsia="宋体" w:cs="宋体"/>
                <w:color w:val="auto"/>
                <w:spacing w:val="0"/>
                <w:sz w:val="24"/>
                <w:szCs w:val="24"/>
              </w:rPr>
              <w:t>福建省财政厅</w:t>
            </w:r>
            <w:r>
              <w:rPr>
                <w:rStyle w:val="9"/>
                <w:rFonts w:hint="eastAsia" w:ascii="宋体" w:hAnsi="宋体" w:eastAsia="宋体" w:cs="宋体"/>
                <w:b/>
                <w:color w:val="auto"/>
                <w:spacing w:val="0"/>
                <w:sz w:val="24"/>
                <w:szCs w:val="24"/>
                <w:u w:val="none"/>
              </w:rPr>
              <w:t>（仅限依法进行政府采购的货物或服务类项目）</w:t>
            </w:r>
            <w:r>
              <w:rPr>
                <w:rFonts w:hint="eastAsia" w:ascii="宋体" w:hAnsi="宋体" w:eastAsia="宋体" w:cs="宋体"/>
                <w:color w:val="auto"/>
                <w:spacing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75" w:hRule="atLeast"/>
          <w:jc w:val="center"/>
        </w:trPr>
        <w:tc>
          <w:tcPr>
            <w:tcW w:w="478"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12</w:t>
            </w:r>
          </w:p>
        </w:tc>
        <w:tc>
          <w:tcPr>
            <w:tcW w:w="142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18.1</w:t>
            </w:r>
          </w:p>
        </w:tc>
        <w:tc>
          <w:tcPr>
            <w:tcW w:w="6917" w:type="dxa"/>
            <w:shd w:val="clear" w:color="auto" w:fill="auto"/>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rPr>
                <w:color w:val="auto"/>
              </w:rPr>
            </w:pPr>
            <w:r>
              <w:rPr>
                <w:rStyle w:val="9"/>
                <w:rFonts w:hint="eastAsia" w:ascii="宋体" w:hAnsi="宋体" w:eastAsia="宋体" w:cs="宋体"/>
                <w:b/>
                <w:color w:val="auto"/>
                <w:spacing w:val="0"/>
                <w:sz w:val="24"/>
                <w:szCs w:val="24"/>
              </w:rPr>
              <w:t>财政部和福建省财政厅指定的政府采购信息发布媒体（以下简称：“指定媒体”）：</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（1）中国政府采购网，网址www.ccgp.gov.cn</w:t>
            </w:r>
            <w:r>
              <w:rPr>
                <w:color w:val="auto"/>
              </w:rPr>
              <w:t>。</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（2）中国政府采购网福建分网（福建省政府采购网），网址cz.fjzfcg.gov.cn</w:t>
            </w:r>
            <w:r>
              <w:rPr>
                <w:color w:val="auto"/>
              </w:rPr>
              <w:t>。</w:t>
            </w:r>
          </w:p>
          <w:p>
            <w:pPr>
              <w:pStyle w:val="6"/>
              <w:keepNext w:val="0"/>
              <w:keepLines w:val="0"/>
              <w:widowControl/>
              <w:suppressLineNumbers w:val="0"/>
              <w:wordWrap w:val="0"/>
              <w:spacing w:before="0" w:beforeAutospacing="0" w:after="0" w:afterAutospacing="0"/>
              <w:ind w:left="0" w:right="0"/>
              <w:rPr>
                <w:color w:val="auto"/>
              </w:rPr>
            </w:pPr>
            <w:r>
              <w:rPr>
                <w:rStyle w:val="9"/>
                <w:rFonts w:hint="eastAsia" w:ascii="宋体" w:hAnsi="宋体" w:eastAsia="宋体" w:cs="宋体"/>
                <w:b/>
                <w:color w:val="auto"/>
                <w:spacing w:val="0"/>
                <w:sz w:val="24"/>
                <w:szCs w:val="24"/>
              </w:rPr>
              <w:t>※除招标文件第一章第</w:t>
            </w:r>
            <w:r>
              <w:rPr>
                <w:rStyle w:val="9"/>
                <w:rFonts w:hint="default" w:ascii="Times New Roman" w:hAnsi="Times New Roman" w:cs="Times New Roman"/>
                <w:b/>
                <w:color w:val="auto"/>
                <w:spacing w:val="0"/>
                <w:sz w:val="24"/>
                <w:szCs w:val="24"/>
              </w:rPr>
              <w:t>11.1</w:t>
            </w:r>
            <w:r>
              <w:rPr>
                <w:rStyle w:val="9"/>
                <w:rFonts w:hint="eastAsia" w:ascii="宋体" w:hAnsi="宋体" w:eastAsia="宋体" w:cs="宋体"/>
                <w:b/>
                <w:color w:val="auto"/>
                <w:spacing w:val="0"/>
                <w:sz w:val="24"/>
                <w:szCs w:val="24"/>
              </w:rPr>
              <w:t>条规定情形外，若出现上述指定媒体信息不一致情形，应以中国政府采购网福建分网（福建省政府采购网）发布的为准。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647" w:hRule="atLeast"/>
          <w:jc w:val="center"/>
        </w:trPr>
        <w:tc>
          <w:tcPr>
            <w:tcW w:w="478"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13</w:t>
            </w:r>
          </w:p>
        </w:tc>
        <w:tc>
          <w:tcPr>
            <w:tcW w:w="1425"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19</w:t>
            </w:r>
          </w:p>
        </w:tc>
        <w:tc>
          <w:tcPr>
            <w:tcW w:w="6917" w:type="dxa"/>
            <w:shd w:val="clear" w:color="auto" w:fill="auto"/>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rPr>
                <w:color w:val="auto"/>
              </w:rPr>
            </w:pPr>
            <w:r>
              <w:rPr>
                <w:rStyle w:val="9"/>
                <w:rFonts w:hint="eastAsia" w:ascii="宋体" w:hAnsi="宋体" w:eastAsia="宋体" w:cs="宋体"/>
                <w:b/>
                <w:color w:val="auto"/>
                <w:spacing w:val="0"/>
                <w:sz w:val="24"/>
                <w:szCs w:val="24"/>
              </w:rPr>
              <w:t>其他事项：</w:t>
            </w:r>
          </w:p>
          <w:p>
            <w:pPr>
              <w:pStyle w:val="6"/>
              <w:keepNext w:val="0"/>
              <w:keepLines w:val="0"/>
              <w:widowControl/>
              <w:suppressLineNumbers w:val="0"/>
              <w:wordWrap w:val="0"/>
              <w:spacing w:before="0" w:beforeAutospacing="0" w:after="0" w:afterAutospacing="0"/>
              <w:ind w:left="0" w:right="0"/>
              <w:rPr>
                <w:color w:val="auto"/>
              </w:rPr>
            </w:pPr>
            <w:r>
              <w:rPr>
                <w:rStyle w:val="9"/>
                <w:rFonts w:hint="eastAsia" w:ascii="宋体" w:hAnsi="宋体" w:eastAsia="宋体" w:cs="宋体"/>
                <w:b/>
                <w:color w:val="auto"/>
                <w:spacing w:val="0"/>
                <w:sz w:val="24"/>
                <w:szCs w:val="24"/>
              </w:rPr>
              <w:t>(1)本项目代理服务费由</w:t>
            </w:r>
            <w:r>
              <w:rPr>
                <w:rFonts w:hint="eastAsia" w:ascii="宋体" w:hAnsi="宋体" w:eastAsia="宋体" w:cs="宋体"/>
                <w:b/>
                <w:color w:val="auto"/>
                <w:spacing w:val="0"/>
                <w:sz w:val="24"/>
                <w:szCs w:val="24"/>
              </w:rPr>
              <w:t>中标人</w:t>
            </w:r>
            <w:r>
              <w:rPr>
                <w:rStyle w:val="9"/>
                <w:rFonts w:hint="eastAsia" w:ascii="宋体" w:hAnsi="宋体" w:eastAsia="宋体" w:cs="宋体"/>
                <w:b/>
                <w:color w:val="auto"/>
                <w:spacing w:val="0"/>
                <w:sz w:val="24"/>
                <w:szCs w:val="24"/>
              </w:rPr>
              <w:t>支付。</w:t>
            </w:r>
            <w:r>
              <w:rPr>
                <w:rStyle w:val="9"/>
                <w:rFonts w:hint="eastAsia" w:ascii="宋体" w:hAnsi="宋体" w:eastAsia="宋体" w:cs="宋体"/>
                <w:b/>
                <w:color w:val="auto"/>
                <w:spacing w:val="0"/>
                <w:sz w:val="24"/>
                <w:szCs w:val="24"/>
              </w:rPr>
              <w:br w:type="textWrapping"/>
            </w:r>
            <w:r>
              <w:rPr>
                <w:rStyle w:val="9"/>
                <w:rFonts w:hint="eastAsia" w:ascii="宋体" w:hAnsi="宋体" w:eastAsia="宋体" w:cs="宋体"/>
                <w:b/>
                <w:color w:val="auto"/>
                <w:spacing w:val="0"/>
                <w:sz w:val="24"/>
                <w:szCs w:val="24"/>
              </w:rPr>
              <w:t>(2)其他：</w:t>
            </w:r>
            <w:r>
              <w:rPr>
                <w:rFonts w:hint="eastAsia" w:ascii="宋体" w:hAnsi="宋体" w:eastAsia="宋体" w:cs="宋体"/>
                <w:b/>
                <w:color w:val="auto"/>
                <w:spacing w:val="0"/>
                <w:sz w:val="24"/>
                <w:szCs w:val="24"/>
              </w:rPr>
              <w:t>关于招标代理费的要求：1.收费标准以单个合同包的中标总金额为准，按差额定率累进法计取，具体按以下标准计取：中标成交金额在100万元以下的，按原“计价格[2002]1980号”文件规定的收费标准80%收取，中标成交金额在100万元以上的按原“计价格[2002]1980号”文件规定的收费标准的70%收取。2.招标代理服务费由中标人在领取中标通知书的同时，以转账、电汇、现金存款等付款方式一次性缴清。3.中标服务费缴交账号： 开户行：交通银行福州华林支行 账 号：351008040018000752005 开户名：福建中实招标有限公司。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453" w:hRule="atLeast"/>
          <w:jc w:val="center"/>
        </w:trPr>
        <w:tc>
          <w:tcPr>
            <w:tcW w:w="1903" w:type="dxa"/>
            <w:gridSpan w:val="2"/>
            <w:shd w:val="clear" w:color="auto" w:fill="auto"/>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rPr>
                <w:color w:val="auto"/>
              </w:rPr>
            </w:pPr>
            <w:r>
              <w:rPr>
                <w:rFonts w:hint="eastAsia" w:ascii="宋体" w:hAnsi="宋体" w:eastAsia="宋体" w:cs="宋体"/>
                <w:color w:val="auto"/>
                <w:spacing w:val="0"/>
                <w:sz w:val="24"/>
                <w:szCs w:val="24"/>
              </w:rPr>
              <w:t>     备注</w:t>
            </w:r>
          </w:p>
        </w:tc>
        <w:tc>
          <w:tcPr>
            <w:tcW w:w="6917" w:type="dxa"/>
            <w:shd w:val="clear" w:color="auto" w:fill="auto"/>
            <w:tcMar>
              <w:top w:w="75" w:type="dxa"/>
              <w:left w:w="150" w:type="dxa"/>
              <w:bottom w:w="75" w:type="dxa"/>
              <w:right w:w="150" w:type="dxa"/>
            </w:tcMar>
            <w:vAlign w:val="center"/>
          </w:tcPr>
          <w:p>
            <w:pPr>
              <w:pStyle w:val="6"/>
              <w:keepNext w:val="0"/>
              <w:keepLines w:val="0"/>
              <w:widowControl/>
              <w:suppressLineNumbers w:val="0"/>
              <w:spacing w:before="0" w:beforeAutospacing="0" w:after="0" w:afterAutospacing="0"/>
              <w:ind w:left="0" w:right="0" w:firstLine="0"/>
              <w:rPr>
                <w:color w:val="auto"/>
              </w:rPr>
            </w:pPr>
            <w:r>
              <w:rPr>
                <w:rStyle w:val="9"/>
                <w:rFonts w:hint="eastAsia" w:ascii="宋体" w:hAnsi="宋体" w:eastAsia="宋体" w:cs="宋体"/>
                <w:b/>
                <w:color w:val="auto"/>
                <w:spacing w:val="0"/>
                <w:sz w:val="24"/>
                <w:szCs w:val="24"/>
              </w:rPr>
              <w:t>后有表</w:t>
            </w:r>
            <w:r>
              <w:rPr>
                <w:rStyle w:val="9"/>
                <w:rFonts w:hint="default" w:ascii="Times New Roman" w:hAnsi="Times New Roman" w:cs="Times New Roman"/>
                <w:b/>
                <w:color w:val="auto"/>
                <w:spacing w:val="0"/>
                <w:sz w:val="24"/>
                <w:szCs w:val="24"/>
              </w:rPr>
              <w:t>2</w:t>
            </w:r>
            <w:r>
              <w:rPr>
                <w:rStyle w:val="9"/>
                <w:rFonts w:hint="eastAsia" w:ascii="宋体" w:hAnsi="宋体" w:eastAsia="宋体" w:cs="宋体"/>
                <w:b/>
                <w:color w:val="auto"/>
                <w:spacing w:val="0"/>
                <w:sz w:val="24"/>
                <w:szCs w:val="24"/>
              </w:rPr>
              <w:t>，请勿遗漏。</w:t>
            </w:r>
          </w:p>
        </w:tc>
      </w:tr>
      <w:bookmarkEnd w:id="3"/>
    </w:tbl>
    <w:p>
      <w:pPr>
        <w:pStyle w:val="6"/>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6"/>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表2</w:t>
      </w:r>
    </w:p>
    <w:tbl>
      <w:tblPr>
        <w:tblStyle w:val="7"/>
        <w:tblW w:w="93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598"/>
        <w:gridCol w:w="8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264" w:hRule="atLeast"/>
          <w:jc w:val="center"/>
        </w:trPr>
        <w:tc>
          <w:tcPr>
            <w:tcW w:w="9340" w:type="dxa"/>
            <w:gridSpan w:val="2"/>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Style w:val="9"/>
                <w:rFonts w:hint="eastAsia" w:ascii="宋体" w:hAnsi="宋体" w:eastAsia="宋体" w:cs="宋体"/>
                <w:b/>
                <w:color w:val="auto"/>
                <w:spacing w:val="0"/>
                <w:sz w:val="24"/>
                <w:szCs w:val="24"/>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519" w:hRule="atLeast"/>
          <w:jc w:val="center"/>
        </w:trPr>
        <w:tc>
          <w:tcPr>
            <w:tcW w:w="598"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序号</w:t>
            </w:r>
          </w:p>
        </w:tc>
        <w:tc>
          <w:tcPr>
            <w:tcW w:w="8742"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334" w:hRule="atLeast"/>
          <w:jc w:val="center"/>
        </w:trPr>
        <w:tc>
          <w:tcPr>
            <w:tcW w:w="598" w:type="dxa"/>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0" w:afterAutospacing="0"/>
              <w:ind w:left="0" w:right="0"/>
              <w:jc w:val="center"/>
              <w:rPr>
                <w:color w:val="auto"/>
              </w:rPr>
            </w:pPr>
            <w:r>
              <w:rPr>
                <w:rFonts w:hint="eastAsia" w:ascii="宋体" w:hAnsi="宋体" w:eastAsia="宋体" w:cs="宋体"/>
                <w:color w:val="auto"/>
                <w:spacing w:val="0"/>
                <w:sz w:val="24"/>
                <w:szCs w:val="24"/>
              </w:rPr>
              <w:t>1</w:t>
            </w:r>
          </w:p>
        </w:tc>
        <w:tc>
          <w:tcPr>
            <w:tcW w:w="8742" w:type="dxa"/>
            <w:shd w:val="clear" w:color="auto" w:fill="auto"/>
            <w:tcMar>
              <w:top w:w="0" w:type="dxa"/>
              <w:left w:w="105" w:type="dxa"/>
              <w:bottom w:w="0" w:type="dxa"/>
              <w:right w:w="105" w:type="dxa"/>
            </w:tcMar>
            <w:vAlign w:val="center"/>
          </w:tcPr>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（1）招标文件中除下述第（</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）款所述内容外的其他内容及规定适用本项目的电子招标投标活动。</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（2）将招标文件</w:t>
            </w:r>
            <w:r>
              <w:rPr>
                <w:rFonts w:hint="eastAsia" w:ascii="宋体" w:hAnsi="宋体" w:eastAsia="宋体" w:cs="宋体"/>
                <w:color w:val="auto"/>
                <w:spacing w:val="0"/>
                <w:sz w:val="24"/>
                <w:szCs w:val="24"/>
                <w:u w:val="single"/>
              </w:rPr>
              <w:t>无。</w:t>
            </w:r>
            <w:r>
              <w:rPr>
                <w:rFonts w:hint="eastAsia" w:ascii="宋体" w:hAnsi="宋体" w:eastAsia="宋体" w:cs="宋体"/>
                <w:color w:val="auto"/>
                <w:spacing w:val="0"/>
                <w:sz w:val="24"/>
                <w:szCs w:val="24"/>
              </w:rPr>
              <w:t>的内容</w:t>
            </w:r>
            <w:r>
              <w:rPr>
                <w:rStyle w:val="9"/>
                <w:rFonts w:hint="eastAsia" w:ascii="宋体" w:hAnsi="宋体" w:eastAsia="宋体" w:cs="宋体"/>
                <w:b/>
                <w:color w:val="auto"/>
                <w:spacing w:val="0"/>
                <w:sz w:val="24"/>
                <w:szCs w:val="24"/>
              </w:rPr>
              <w:t>修正为</w:t>
            </w:r>
            <w:r>
              <w:rPr>
                <w:rFonts w:hint="eastAsia" w:ascii="宋体" w:hAnsi="宋体" w:eastAsia="宋体" w:cs="宋体"/>
                <w:color w:val="auto"/>
                <w:spacing w:val="0"/>
                <w:sz w:val="24"/>
                <w:szCs w:val="24"/>
              </w:rPr>
              <w:t>下列内容：</w:t>
            </w:r>
            <w:r>
              <w:rPr>
                <w:rFonts w:hint="eastAsia" w:ascii="宋体" w:hAnsi="宋体" w:eastAsia="宋体" w:cs="宋体"/>
                <w:color w:val="auto"/>
                <w:spacing w:val="0"/>
                <w:sz w:val="24"/>
                <w:szCs w:val="24"/>
                <w:u w:val="single"/>
              </w:rPr>
              <w:t>无。</w:t>
            </w:r>
            <w:r>
              <w:rPr>
                <w:rFonts w:hint="eastAsia" w:ascii="宋体" w:hAnsi="宋体" w:eastAsia="宋体" w:cs="宋体"/>
                <w:color w:val="auto"/>
                <w:spacing w:val="0"/>
                <w:sz w:val="24"/>
                <w:szCs w:val="24"/>
              </w:rPr>
              <w:t>后适用本项目的电子招标投标活动。</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（3）将下列内容</w:t>
            </w:r>
            <w:r>
              <w:rPr>
                <w:rStyle w:val="9"/>
                <w:rFonts w:hint="eastAsia" w:ascii="宋体" w:hAnsi="宋体" w:eastAsia="宋体" w:cs="宋体"/>
                <w:b/>
                <w:color w:val="auto"/>
                <w:spacing w:val="0"/>
                <w:sz w:val="24"/>
                <w:szCs w:val="24"/>
              </w:rPr>
              <w:t>增列为</w:t>
            </w:r>
            <w:r>
              <w:rPr>
                <w:rFonts w:hint="eastAsia" w:ascii="宋体" w:hAnsi="宋体" w:eastAsia="宋体" w:cs="宋体"/>
                <w:color w:val="auto"/>
                <w:spacing w:val="0"/>
                <w:sz w:val="24"/>
                <w:szCs w:val="24"/>
              </w:rPr>
              <w:t>招标文件的组成部分（以下简称：“增列内容”）适用本项目的电子招标投标活动，若增列内容与招标文件其他章节内容有冲突，应以增列内容为准：</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①电子招标投标活动的具体操作流程以福建省政府采购网上公开信息系统设定的为准。</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②关于投标文件：</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a.投标人应按照福建省政府采购网上公开信息系统设定的评审节点编制电子投标文件，否则</w:t>
            </w:r>
            <w:r>
              <w:rPr>
                <w:rStyle w:val="9"/>
                <w:rFonts w:hint="eastAsia" w:ascii="宋体" w:hAnsi="宋体" w:eastAsia="宋体" w:cs="宋体"/>
                <w:b/>
                <w:color w:val="auto"/>
                <w:spacing w:val="0"/>
                <w:sz w:val="24"/>
                <w:szCs w:val="24"/>
              </w:rPr>
              <w:t>资格审查小组、评标委员会将按照不利于投标人的内容进行认定。</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b.投标人应在投标截止时间前按照福建省政府采购网上公开信息系统设定的操作流程将电子投标文件</w:t>
            </w:r>
            <w:r>
              <w:rPr>
                <w:rStyle w:val="9"/>
                <w:rFonts w:hint="eastAsia" w:ascii="宋体" w:hAnsi="宋体" w:eastAsia="宋体" w:cs="宋体"/>
                <w:b/>
                <w:color w:val="auto"/>
                <w:spacing w:val="0"/>
                <w:sz w:val="24"/>
                <w:szCs w:val="24"/>
                <w:u w:val="single"/>
              </w:rPr>
              <w:t>1</w:t>
            </w:r>
            <w:r>
              <w:rPr>
                <w:rFonts w:hint="eastAsia" w:ascii="宋体" w:hAnsi="宋体" w:eastAsia="宋体" w:cs="宋体"/>
                <w:color w:val="auto"/>
                <w:spacing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c.若出现福建省政府采购网上公开信息系统设定的意外情形（如：系统故障等），经本项目监督管理部门同意使用纸质投标文件的，应以纸质投标文件为准。</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③关于证明材料或资料：</w:t>
            </w:r>
          </w:p>
          <w:p>
            <w:pPr>
              <w:pStyle w:val="6"/>
              <w:keepNext w:val="0"/>
              <w:keepLines w:val="0"/>
              <w:widowControl/>
              <w:suppressLineNumbers w:val="0"/>
              <w:wordWrap w:val="0"/>
              <w:spacing w:before="0" w:beforeAutospacing="0" w:after="150" w:afterAutospacing="0"/>
              <w:ind w:left="0" w:right="0"/>
              <w:rPr>
                <w:color w:val="auto"/>
              </w:rPr>
            </w:pPr>
            <w:r>
              <w:rPr>
                <w:rFonts w:hint="eastAsia" w:ascii="宋体" w:hAnsi="宋体" w:eastAsia="宋体" w:cs="宋体"/>
                <w:color w:val="auto"/>
                <w:sz w:val="24"/>
                <w:szCs w:val="24"/>
              </w:rPr>
              <w:t>a.除《检察机关行贿犯罪档案查询结果告知函》外，招标文件要求原件的，投标人在电子投标文件中可提供复印件（含扫描件），但在纸质投标文件正本中应提供原件</w:t>
            </w:r>
            <w:r>
              <w:rPr>
                <w:rStyle w:val="9"/>
                <w:rFonts w:hint="eastAsia" w:ascii="宋体" w:hAnsi="宋体" w:eastAsia="宋体" w:cs="宋体"/>
                <w:b/>
                <w:color w:val="auto"/>
                <w:sz w:val="24"/>
                <w:szCs w:val="24"/>
              </w:rPr>
              <w:t>（资格审查小组、评标委员会将核对纸质投标文件正本，未提供原件的证明材料或资料将导致投标无效）</w:t>
            </w:r>
            <w:r>
              <w:rPr>
                <w:rFonts w:hint="eastAsia" w:ascii="宋体" w:hAnsi="宋体" w:eastAsia="宋体" w:cs="宋体"/>
                <w:color w:val="auto"/>
                <w:sz w:val="24"/>
                <w:szCs w:val="24"/>
              </w:rPr>
              <w:t>；招标文件要求复印件的，投标人在纸质投标文件中提供原件、复印件（含扫描件）皆可；招标文件对原件、复印件未作要求的，投标人在纸质投标文件中提供原件、复印件（含扫描件）皆可。</w:t>
            </w:r>
          </w:p>
          <w:p>
            <w:pPr>
              <w:pStyle w:val="6"/>
              <w:keepNext w:val="0"/>
              <w:keepLines w:val="0"/>
              <w:widowControl/>
              <w:suppressLineNumbers w:val="0"/>
              <w:wordWrap w:val="0"/>
              <w:spacing w:before="0" w:beforeAutospacing="0" w:after="150" w:afterAutospacing="0"/>
              <w:ind w:left="0" w:right="0"/>
              <w:rPr>
                <w:color w:val="auto"/>
              </w:rPr>
            </w:pPr>
            <w:r>
              <w:rPr>
                <w:rFonts w:hint="eastAsia" w:ascii="宋体" w:hAnsi="宋体" w:eastAsia="宋体" w:cs="宋体"/>
                <w:color w:val="auto"/>
                <w:sz w:val="24"/>
                <w:szCs w:val="24"/>
              </w:rPr>
              <w:t>b.除《检察机关行贿犯罪档案查询结果告知函》外，若投标人提供注明“复印件无效”的证明材料或资料，其纸质投标文件正本中应提供原件</w:t>
            </w:r>
            <w:r>
              <w:rPr>
                <w:rStyle w:val="9"/>
                <w:rFonts w:hint="eastAsia" w:ascii="宋体" w:hAnsi="宋体" w:eastAsia="宋体" w:cs="宋体"/>
                <w:b/>
                <w:color w:val="auto"/>
                <w:sz w:val="24"/>
                <w:szCs w:val="24"/>
              </w:rPr>
              <w:t>（资格审查小组、评标委员会将核对纸质投标文件正本，未提供原件的证明材料或资料将导致投标无效）。</w:t>
            </w:r>
          </w:p>
          <w:p>
            <w:pPr>
              <w:pStyle w:val="6"/>
              <w:keepNext w:val="0"/>
              <w:keepLines w:val="0"/>
              <w:widowControl/>
              <w:suppressLineNumbers w:val="0"/>
              <w:wordWrap w:val="0"/>
              <w:spacing w:before="0" w:beforeAutospacing="0" w:after="150" w:afterAutospacing="0"/>
              <w:ind w:left="0" w:right="0"/>
              <w:rPr>
                <w:color w:val="auto"/>
              </w:rPr>
            </w:pPr>
            <w:r>
              <w:rPr>
                <w:rFonts w:hint="eastAsia" w:ascii="宋体" w:hAnsi="宋体" w:eastAsia="宋体" w:cs="宋体"/>
                <w:color w:val="auto"/>
                <w:sz w:val="24"/>
                <w:szCs w:val="24"/>
              </w:rPr>
              <w:t>c.《检察机关行贿犯罪档案查询结果告知函》</w:t>
            </w:r>
          </w:p>
          <w:p>
            <w:pPr>
              <w:pStyle w:val="6"/>
              <w:keepNext w:val="0"/>
              <w:keepLines w:val="0"/>
              <w:widowControl/>
              <w:suppressLineNumbers w:val="0"/>
              <w:wordWrap w:val="0"/>
              <w:spacing w:before="0" w:beforeAutospacing="0" w:after="150" w:afterAutospacing="0"/>
              <w:ind w:left="0" w:right="0"/>
              <w:rPr>
                <w:color w:val="auto"/>
              </w:rPr>
            </w:pPr>
            <w:r>
              <w:rPr>
                <w:rFonts w:hint="eastAsia" w:ascii="宋体" w:hAnsi="宋体" w:eastAsia="宋体" w:cs="宋体"/>
                <w:color w:val="auto"/>
                <w:sz w:val="24"/>
                <w:szCs w:val="24"/>
              </w:rPr>
              <w:t>c1投标人在电子投标文件中可提供复印件（含扫描件）、符合招标文件第七章规定的打印件（或截图），在纸质投标文件正本中提供原件、复印件（含扫描件）、符合招标文件第七章规定的打印件（或截图）皆可。</w:t>
            </w:r>
          </w:p>
          <w:p>
            <w:pPr>
              <w:pStyle w:val="6"/>
              <w:keepNext w:val="0"/>
              <w:keepLines w:val="0"/>
              <w:widowControl/>
              <w:suppressLineNumbers w:val="0"/>
              <w:wordWrap w:val="0"/>
              <w:spacing w:before="0" w:beforeAutospacing="0" w:after="150" w:afterAutospacing="0"/>
              <w:ind w:left="0" w:right="0"/>
              <w:rPr>
                <w:color w:val="auto"/>
              </w:rPr>
            </w:pPr>
            <w:r>
              <w:rPr>
                <w:rFonts w:hint="eastAsia" w:ascii="宋体" w:hAnsi="宋体" w:eastAsia="宋体" w:cs="宋体"/>
                <w:color w:val="auto"/>
                <w:sz w:val="24"/>
                <w:szCs w:val="24"/>
              </w:rPr>
              <w:t>c2《检察机关行贿犯罪档案查询结果告知函》应在有效期内且内容完整、清晰、整洁，否则</w:t>
            </w:r>
            <w:r>
              <w:rPr>
                <w:rStyle w:val="9"/>
                <w:rFonts w:hint="eastAsia" w:ascii="宋体" w:hAnsi="宋体" w:eastAsia="宋体" w:cs="宋体"/>
                <w:b/>
                <w:color w:val="auto"/>
                <w:sz w:val="24"/>
                <w:szCs w:val="24"/>
              </w:rPr>
              <w:t>投标无效。</w:t>
            </w:r>
          </w:p>
          <w:p>
            <w:pPr>
              <w:pStyle w:val="6"/>
              <w:keepNext w:val="0"/>
              <w:keepLines w:val="0"/>
              <w:widowControl/>
              <w:suppressLineNumbers w:val="0"/>
              <w:wordWrap w:val="0"/>
              <w:spacing w:before="0" w:beforeAutospacing="0" w:after="150" w:afterAutospacing="0"/>
              <w:ind w:left="0" w:right="0"/>
              <w:rPr>
                <w:color w:val="auto"/>
              </w:rPr>
            </w:pPr>
            <w:r>
              <w:rPr>
                <w:rFonts w:hint="eastAsia" w:ascii="宋体" w:hAnsi="宋体" w:eastAsia="宋体" w:cs="宋体"/>
                <w:color w:val="auto"/>
                <w:sz w:val="24"/>
                <w:szCs w:val="24"/>
              </w:rPr>
              <w:t>c3有效期内的《检察机关行贿犯罪档案查询结果告知函》复印件（含扫描件）及符合招标文件第七章规定的打印件（或截图），无论内容中是否注明“复印件无效”，</w:t>
            </w:r>
            <w:r>
              <w:rPr>
                <w:rStyle w:val="9"/>
                <w:rFonts w:hint="eastAsia" w:ascii="宋体" w:hAnsi="宋体" w:eastAsia="宋体" w:cs="宋体"/>
                <w:b/>
                <w:color w:val="auto"/>
                <w:sz w:val="24"/>
                <w:szCs w:val="24"/>
              </w:rPr>
              <w:t>均视同有效。</w:t>
            </w:r>
          </w:p>
          <w:p>
            <w:pPr>
              <w:pStyle w:val="6"/>
              <w:keepNext w:val="0"/>
              <w:keepLines w:val="0"/>
              <w:widowControl/>
              <w:suppressLineNumbers w:val="0"/>
              <w:wordWrap w:val="0"/>
              <w:spacing w:before="0" w:beforeAutospacing="0" w:after="0" w:afterAutospacing="0"/>
              <w:ind w:left="0" w:right="0"/>
              <w:rPr>
                <w:color w:val="auto"/>
              </w:rPr>
            </w:pP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④关于“全称”、“投标人代表签字”及“加盖单位公章”：</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a.在电子投标文件中，涉及“全称”和“投标人代表签字”的内容可使用打字录入方式完成。</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b.在电子投标文件中，涉及“加盖单位公章”的内容应使用投标人的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证书完成，否则</w:t>
            </w:r>
            <w:r>
              <w:rPr>
                <w:rStyle w:val="9"/>
                <w:rFonts w:hint="eastAsia" w:ascii="宋体" w:hAnsi="宋体" w:eastAsia="宋体" w:cs="宋体"/>
                <w:b/>
                <w:color w:val="auto"/>
                <w:spacing w:val="0"/>
                <w:sz w:val="24"/>
                <w:szCs w:val="24"/>
              </w:rPr>
              <w:t>投标无效。</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c.在电子投标文件中，若投标人按照本增列内容第④点第</w:t>
            </w:r>
            <w:r>
              <w:rPr>
                <w:rFonts w:hint="default" w:ascii="Calibri" w:hAnsi="Calibri" w:cs="Calibri"/>
                <w:color w:val="auto"/>
                <w:spacing w:val="0"/>
                <w:sz w:val="24"/>
                <w:szCs w:val="24"/>
              </w:rPr>
              <w:t>b</w:t>
            </w:r>
            <w:r>
              <w:rPr>
                <w:rFonts w:hint="eastAsia" w:ascii="宋体" w:hAnsi="宋体" w:eastAsia="宋体" w:cs="宋体"/>
                <w:color w:val="auto"/>
                <w:spacing w:val="0"/>
                <w:sz w:val="24"/>
                <w:szCs w:val="24"/>
              </w:rPr>
              <w:t>项规定加盖其单位公章，则出现无全称、或投标人代表未签字等情形，</w:t>
            </w:r>
            <w:r>
              <w:rPr>
                <w:rStyle w:val="9"/>
                <w:rFonts w:hint="eastAsia" w:ascii="宋体" w:hAnsi="宋体" w:eastAsia="宋体" w:cs="宋体"/>
                <w:b/>
                <w:color w:val="auto"/>
                <w:spacing w:val="0"/>
                <w:sz w:val="24"/>
                <w:szCs w:val="24"/>
              </w:rPr>
              <w:t>不视为投标无效。</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⑤关于投标人的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a.投标人的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证书应在投标截止时间前连同密封的纸质投标文件送达招标文件第一章第</w:t>
            </w:r>
            <w:r>
              <w:rPr>
                <w:rFonts w:hint="default" w:ascii="Calibri" w:hAnsi="Calibri" w:cs="Calibri"/>
                <w:color w:val="auto"/>
                <w:spacing w:val="0"/>
                <w:sz w:val="24"/>
                <w:szCs w:val="24"/>
              </w:rPr>
              <w:t>10</w:t>
            </w:r>
            <w:r>
              <w:rPr>
                <w:rFonts w:hint="eastAsia" w:ascii="宋体" w:hAnsi="宋体" w:eastAsia="宋体" w:cs="宋体"/>
                <w:color w:val="auto"/>
                <w:spacing w:val="0"/>
                <w:sz w:val="24"/>
                <w:szCs w:val="24"/>
              </w:rPr>
              <w:t>条载明的地点，否则</w:t>
            </w:r>
            <w:r>
              <w:rPr>
                <w:rStyle w:val="9"/>
                <w:rFonts w:hint="eastAsia" w:ascii="宋体" w:hAnsi="宋体" w:eastAsia="宋体" w:cs="宋体"/>
                <w:b/>
                <w:color w:val="auto"/>
                <w:spacing w:val="0"/>
                <w:sz w:val="24"/>
                <w:szCs w:val="24"/>
              </w:rPr>
              <w:t>投标将被拒绝。</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证书可采用信封（包括但不限于：信封、档案袋、文件袋等）作为外包装进行单独包装。外包装密封、不密封皆可。</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c.投标人的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证书或外包装应标记“项目名称、招标编号、投标人的全称”等内容，以方便识别、使用。</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d.投标人的</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证书应能正常、有效使用，否则产生不利后果由投标人承担责任。</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⑥关于投标截止时间过后</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a.被福建省政府采购网上公开信息系统判定为投标保证金未提交（即未于投标截止时间前到达招标文件载明的投标保证金账户）的投标人，</w:t>
            </w:r>
            <w:r>
              <w:rPr>
                <w:rStyle w:val="9"/>
                <w:rFonts w:hint="eastAsia" w:ascii="宋体" w:hAnsi="宋体" w:eastAsia="宋体" w:cs="宋体"/>
                <w:b/>
                <w:color w:val="auto"/>
                <w:spacing w:val="0"/>
                <w:sz w:val="24"/>
                <w:szCs w:val="24"/>
              </w:rPr>
              <w:t>投标将被拒绝。</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b.有下列情形之一的，视为投标人串通投标，</w:t>
            </w:r>
            <w:r>
              <w:rPr>
                <w:rStyle w:val="9"/>
                <w:rFonts w:hint="eastAsia" w:ascii="宋体" w:hAnsi="宋体" w:eastAsia="宋体" w:cs="宋体"/>
                <w:b/>
                <w:color w:val="auto"/>
                <w:spacing w:val="0"/>
                <w:sz w:val="24"/>
                <w:szCs w:val="24"/>
              </w:rPr>
              <w:t>其投标无效：</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b1不同投标人的电子投标文件被福建省政府采购网上公开信息系统判定为具有相同内部识别码；</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b2不同投标人的投标保证金被福建省政府采购网上公开信息系统判定为从同一单位或个人的账户转出；</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b3投标人的投标保证金被福建省政府采购网上公开信息系统判定为同一合同项下有其他投标人提交的投标保证金</w:t>
            </w:r>
          </w:p>
          <w:p>
            <w:pPr>
              <w:pStyle w:val="6"/>
              <w:keepNext w:val="0"/>
              <w:keepLines w:val="0"/>
              <w:widowControl/>
              <w:suppressLineNumbers w:val="0"/>
              <w:wordWrap w:val="0"/>
              <w:spacing w:before="0" w:beforeAutospacing="0" w:after="150" w:afterAutospacing="0"/>
              <w:ind w:left="0" w:right="0"/>
              <w:rPr>
                <w:color w:val="auto"/>
              </w:rPr>
            </w:pPr>
            <w:r>
              <w:rPr>
                <w:rFonts w:hint="eastAsia" w:ascii="宋体" w:hAnsi="宋体" w:eastAsia="宋体" w:cs="宋体"/>
                <w:color w:val="auto"/>
                <w:sz w:val="24"/>
                <w:szCs w:val="24"/>
              </w:rPr>
              <w:t>b4不同投标人被福建省政府采购网上公开信息系统判定为串通投标的其他情形。</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⑦接受联合体投标且投标人为联合体的，投标人应由“联合体牵头方”完成福建省政府采购网上公开信息系统设定的具体操作流程（包括但不限于：报名、提交投标保证金、编制电子投标文件等）。</w:t>
            </w:r>
          </w:p>
          <w:p>
            <w:pPr>
              <w:pStyle w:val="6"/>
              <w:keepNext w:val="0"/>
              <w:keepLines w:val="0"/>
              <w:widowControl/>
              <w:suppressLineNumbers w:val="0"/>
              <w:wordWrap w:val="0"/>
              <w:spacing w:before="0" w:beforeAutospacing="0" w:after="0" w:afterAutospacing="0"/>
              <w:ind w:left="0" w:right="0"/>
              <w:rPr>
                <w:color w:val="auto"/>
              </w:rPr>
            </w:pPr>
            <w:r>
              <w:rPr>
                <w:rFonts w:hint="eastAsia" w:ascii="宋体" w:hAnsi="宋体" w:eastAsia="宋体" w:cs="宋体"/>
                <w:color w:val="auto"/>
                <w:spacing w:val="0"/>
                <w:sz w:val="24"/>
                <w:szCs w:val="24"/>
              </w:rPr>
              <w:t>⑧其他：</w:t>
            </w:r>
            <w:r>
              <w:rPr>
                <w:color w:val="auto"/>
                <w:spacing w:val="0"/>
                <w:sz w:val="24"/>
                <w:szCs w:val="24"/>
              </w:rPr>
              <w:t>无。</w:t>
            </w:r>
            <w:r>
              <w:rPr>
                <w:rFonts w:hint="eastAsia" w:ascii="宋体" w:hAnsi="宋体" w:eastAsia="宋体" w:cs="宋体"/>
                <w:color w:val="auto"/>
                <w:spacing w:val="0"/>
                <w:sz w:val="24"/>
                <w:szCs w:val="24"/>
              </w:rPr>
              <w:t>。</w:t>
            </w:r>
          </w:p>
        </w:tc>
      </w:tr>
    </w:tbl>
    <w:p>
      <w:pPr>
        <w:pStyle w:val="6"/>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6"/>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31"/>
          <w:szCs w:val="31"/>
        </w:rPr>
        <w:t>第三章   投标人须知</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24"/>
          <w:szCs w:val="24"/>
        </w:rPr>
        <w:t>一、总则</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1、适用范围</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1.1适用于招标文件载明项目的政府采购活动（以下简称：“本次采购活动”）。</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2、定义</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2.1“采购标的”指招标文件载明的需要采购的货物或服务。</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2.2“潜在投标人”指按照招标文件第一章第</w:t>
      </w:r>
      <w:r>
        <w:rPr>
          <w:rFonts w:hint="default" w:ascii="Calibri" w:hAnsi="Calibri" w:cs="Calibri"/>
          <w:color w:val="auto"/>
          <w:spacing w:val="0"/>
          <w:sz w:val="24"/>
          <w:szCs w:val="24"/>
        </w:rPr>
        <w:t>7</w:t>
      </w:r>
      <w:r>
        <w:rPr>
          <w:rFonts w:hint="eastAsia" w:ascii="宋体" w:hAnsi="宋体" w:eastAsia="宋体" w:cs="宋体"/>
          <w:color w:val="auto"/>
          <w:spacing w:val="0"/>
          <w:sz w:val="24"/>
          <w:szCs w:val="24"/>
        </w:rPr>
        <w:t>条规定进行报名且有意向参加本项目投标的供应商。</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2.3“投标人”指按照招标文件第一章第</w:t>
      </w:r>
      <w:r>
        <w:rPr>
          <w:rFonts w:hint="default" w:ascii="Calibri" w:hAnsi="Calibri" w:cs="Calibri"/>
          <w:color w:val="auto"/>
          <w:spacing w:val="0"/>
          <w:sz w:val="24"/>
          <w:szCs w:val="24"/>
        </w:rPr>
        <w:t>7</w:t>
      </w:r>
      <w:r>
        <w:rPr>
          <w:rFonts w:hint="eastAsia" w:ascii="宋体" w:hAnsi="宋体" w:eastAsia="宋体" w:cs="宋体"/>
          <w:color w:val="auto"/>
          <w:spacing w:val="0"/>
          <w:sz w:val="24"/>
          <w:szCs w:val="24"/>
        </w:rPr>
        <w:t>条规定进行报名并参加本项目投标的供应商。</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2.4“单位负责人”指单位法定代表人或法律、法规规定代表单位行使职权的主要负责人。</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2.5“投标人代表”指投标人的单位负责人或“单位负责人授权书”中载明的接受授权方。</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24"/>
          <w:szCs w:val="24"/>
        </w:rPr>
        <w:t>二、投标人</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3、合格投标人</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3.1一般规定</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（1）投标人应遵守政府采购法及实施条例、政府采购招投标管理办法、</w:t>
      </w:r>
      <w:r>
        <w:rPr>
          <w:rFonts w:hint="eastAsia" w:ascii="宋体" w:hAnsi="宋体" w:eastAsia="宋体" w:cs="宋体"/>
          <w:color w:val="auto"/>
        </w:rPr>
        <w:t>政府采购质疑和投诉办法及财政部、</w:t>
      </w:r>
      <w:r>
        <w:rPr>
          <w:rFonts w:hint="eastAsia" w:ascii="宋体" w:hAnsi="宋体" w:eastAsia="宋体" w:cs="宋体"/>
          <w:color w:val="auto"/>
          <w:spacing w:val="0"/>
        </w:rPr>
        <w:t>福建省财政厅有关政府采购文件的规定，同时还应遵守有关法律、法规和规章的强制性规定。</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（2）投标人的资格要求：详见招标文件第一章。</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3.2若本项目接受联合体投标且投标人为联合体，则联合体各方应遵守本章第3.1条规定，同时还应遵守下列规定：</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（1）联合体各方应提交联合体协议，联合体协议应符合招标文件规定。</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（2）联合体各方不得再单独参加或与其他供应商另外组成联合体参加同一合同项下的投标。</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（3）联合体各方应共同与采购人签订政府采购合同，就政府采购合同约定的事项对采购人承担连带责任。</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4、投标费用</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4.1除招标文件另有规定外，投标人应自行承担其参加本项目投标所涉及的一切费用。</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24"/>
          <w:szCs w:val="24"/>
        </w:rPr>
        <w:t>三、招标</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5、招标文件</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5.1招标文件由下述部分组成：</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（1）投标邀请</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（2）投标人须知前附表（表</w:t>
      </w:r>
      <w:r>
        <w:rPr>
          <w:rFonts w:hint="default" w:ascii="Calibri" w:hAnsi="Calibri" w:cs="Calibri"/>
          <w:color w:val="auto"/>
          <w:spacing w:val="0"/>
          <w:sz w:val="24"/>
          <w:szCs w:val="24"/>
        </w:rPr>
        <w:t>1</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（3）投标人须知</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（4）资格审查与评标</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（5）招标内容及要求</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（6）政府采购合同（参考文本）</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（7）投标文件格式</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（8）按照招标文件规定作为招标文件组成部分的其他内容（若有）</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5.2招标文件的澄清或修改</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w:t>
      </w:r>
      <w:r>
        <w:rPr>
          <w:color w:val="auto"/>
          <w:spacing w:val="0"/>
          <w:sz w:val="24"/>
          <w:szCs w:val="24"/>
          <w:u w:val="single"/>
        </w:rPr>
        <w:t>福建中实招标有限公司</w:t>
      </w:r>
      <w:r>
        <w:rPr>
          <w:rFonts w:hint="eastAsia" w:ascii="宋体" w:hAnsi="宋体" w:eastAsia="宋体" w:cs="宋体"/>
          <w:color w:val="auto"/>
          <w:spacing w:val="0"/>
          <w:sz w:val="24"/>
          <w:szCs w:val="24"/>
        </w:rPr>
        <w:t>可对已发出的招标文件进行必要的澄清或修改，但不得对招标文件载明的采购标的和投标人的资格要求进行改变。</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（2）除本章第</w:t>
      </w:r>
      <w:r>
        <w:rPr>
          <w:rFonts w:hint="default" w:ascii="Calibri" w:hAnsi="Calibri" w:cs="Calibri"/>
          <w:color w:val="auto"/>
          <w:spacing w:val="0"/>
          <w:sz w:val="24"/>
          <w:szCs w:val="24"/>
        </w:rPr>
        <w:t>5.2</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）款规定情形外，澄清或修改的内容可能影响投标文件编制的，</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将在投标截止时间至少15个日历日前，在招标文件载明的指定媒体以更正公告的形式发布澄清或修改的内容。不足</w:t>
      </w:r>
      <w:r>
        <w:rPr>
          <w:rFonts w:hint="default" w:ascii="Calibri" w:hAnsi="Calibri" w:cs="Calibri"/>
          <w:color w:val="auto"/>
          <w:spacing w:val="0"/>
          <w:sz w:val="24"/>
          <w:szCs w:val="24"/>
        </w:rPr>
        <w:t>15</w:t>
      </w:r>
      <w:r>
        <w:rPr>
          <w:rFonts w:hint="eastAsia" w:ascii="宋体" w:hAnsi="宋体" w:eastAsia="宋体" w:cs="宋体"/>
          <w:color w:val="auto"/>
          <w:spacing w:val="0"/>
          <w:sz w:val="24"/>
          <w:szCs w:val="24"/>
        </w:rPr>
        <w:t>个日历日的，</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将顺延投标截止时间及开标时间，</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和投标人受原投标截止时间及开标时间制约的所有权利和义务均延长至新的投标截止时间及开标时间。</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（3）澄清或修改的内容可能改变招标文件载明的采购标的和投标人的资格要求的，本次采购活动结束，</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6、现场考察或开标前答疑会</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6.1是否组织现场考察或召开开标前答疑会：详见招标文件第二章。</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7、更正公告</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7.1若</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发布更正公告，则更正公告及其所发布的内容或信息（包括但不限于：招标文件的澄清或修改、现场考察或答疑会的有关事宜等）</w:t>
      </w:r>
      <w:r>
        <w:rPr>
          <w:rStyle w:val="9"/>
          <w:rFonts w:hint="eastAsia" w:ascii="宋体" w:hAnsi="宋体" w:eastAsia="宋体" w:cs="宋体"/>
          <w:b/>
          <w:color w:val="auto"/>
          <w:spacing w:val="0"/>
          <w:sz w:val="24"/>
          <w:szCs w:val="24"/>
        </w:rPr>
        <w:t>作为招标文件组成部分</w:t>
      </w:r>
      <w:r>
        <w:rPr>
          <w:rFonts w:hint="eastAsia" w:ascii="宋体" w:hAnsi="宋体" w:eastAsia="宋体" w:cs="宋体"/>
          <w:color w:val="auto"/>
          <w:spacing w:val="0"/>
          <w:sz w:val="24"/>
          <w:szCs w:val="24"/>
        </w:rPr>
        <w:t>，对投标人具有约束力。</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7.2更正公告作为</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通知所有潜在投标人的书面形式。</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8、终止公告</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8.1若出现因重大变故导致采购任务取消情形，</w:t>
      </w:r>
      <w:r>
        <w:rPr>
          <w:rFonts w:hint="eastAsia" w:ascii="宋体" w:hAnsi="宋体" w:eastAsia="宋体" w:cs="宋体"/>
          <w:color w:val="auto"/>
          <w:spacing w:val="0"/>
          <w:sz w:val="24"/>
          <w:szCs w:val="24"/>
          <w:u w:val="none"/>
        </w:rPr>
        <w:t>福建中实招标有限公司可终止招标并发布终止公告。</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u w:val="none"/>
        </w:rPr>
        <w:t>8.2终止公告作为福建中实招标有限公司</w:t>
      </w:r>
      <w:r>
        <w:rPr>
          <w:rFonts w:hint="eastAsia" w:ascii="宋体" w:hAnsi="宋体" w:eastAsia="宋体" w:cs="宋体"/>
          <w:color w:val="auto"/>
          <w:spacing w:val="0"/>
          <w:sz w:val="24"/>
          <w:szCs w:val="24"/>
        </w:rPr>
        <w:t>通知所有潜在投标人的书面形式。</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24"/>
          <w:szCs w:val="24"/>
        </w:rPr>
        <w:t>四、投标</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9、投标</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9.1投标人可对招标文件载明的全部或部分合同包进行投标。</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9.2投标人应对同一个合同包内的所有内容进行完整投标，否则</w:t>
      </w:r>
      <w:r>
        <w:rPr>
          <w:rStyle w:val="9"/>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9.3投标人代表只能接受一个投标人的授权参加投标，否则</w:t>
      </w:r>
      <w:r>
        <w:rPr>
          <w:rStyle w:val="9"/>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9.4单位负责人为同一人或存在直接控股、管理关系的不同供应商，不得同时参加同一合同项下的投标，否则</w:t>
      </w:r>
      <w:r>
        <w:rPr>
          <w:rStyle w:val="9"/>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9.5为本项目提供整体设计、规范编制或项目管理、监理、检测等服务的供应商，不得参加本项目除整体设计、规范编制和项目管理、监理、检测等服务外的采购活动，否则</w:t>
      </w:r>
      <w:r>
        <w:rPr>
          <w:rStyle w:val="9"/>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9.6列入失信被执行人、重大税收违法案件当事人名单、政府采购严重违法失信行为记录名单及其他不符合政府采购法第二十二条规定条件的供应商，不得参加投标，否则</w:t>
      </w:r>
      <w:r>
        <w:rPr>
          <w:rStyle w:val="9"/>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9.7有下列情形之一的，视为投标人串通投标，</w:t>
      </w:r>
      <w:r>
        <w:rPr>
          <w:rStyle w:val="9"/>
          <w:rFonts w:hint="eastAsia" w:ascii="宋体" w:hAnsi="宋体" w:eastAsia="宋体" w:cs="宋体"/>
          <w:b/>
          <w:color w:val="auto"/>
          <w:spacing w:val="0"/>
          <w:sz w:val="24"/>
          <w:szCs w:val="24"/>
        </w:rPr>
        <w:t>其投标无效：</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（1）不同投标人的投标文件由同一单位或个人编制；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（2）不同投标人委托同一单位或个人办理投标事宜；</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（3）不同投标人的投标文件载明的项目管理成员或联系人员为同一人；</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（4）不同投标人的投标文件异常一致或投标报价呈规律性差异；</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（5）不同投标人的投标文件相互混装；</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（6）不同投标人的投标保证金从同一单位或个人的账户转出；</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（7）有关法律、法规和规章及招标文件规定的其他串通投标情形。</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10、投标文件</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10.1投标文件的编制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（1）投标人应先仔细阅读招标文件的全部内容后，再进行投标文件的编制。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（2）投标文件应按照本章第</w:t>
      </w:r>
      <w:r>
        <w:rPr>
          <w:rFonts w:hint="default" w:ascii="Calibri" w:hAnsi="Calibri" w:cs="Calibri"/>
          <w:color w:val="auto"/>
          <w:spacing w:val="0"/>
          <w:sz w:val="24"/>
          <w:szCs w:val="24"/>
        </w:rPr>
        <w:t>10.2</w:t>
      </w:r>
      <w:r>
        <w:rPr>
          <w:rFonts w:hint="eastAsia" w:ascii="宋体" w:hAnsi="宋体" w:eastAsia="宋体" w:cs="宋体"/>
          <w:color w:val="auto"/>
          <w:spacing w:val="0"/>
          <w:sz w:val="24"/>
          <w:szCs w:val="24"/>
        </w:rPr>
        <w:t>条规定编制其组成部分。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（3）投标文件应满足招标文件提出的实质性要求和条件，并保证其所提交的全部资料是不可割离且真实、有效、准确、完整和不具有任何误导性的，否则造成不利后果由投标人承担责任。</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10.2投标文件由下述部分组成：</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（1）资格及资信证明部分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①投标函</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②投标人的资格及资信证明文件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③投标保证金</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（2）报价部分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①开标一览表</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②投标分项报价表</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③招标文件规定的价格扣除证明材料（若有）</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④招标文件规定的加分证明材料（若有）</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（3）技术商务部分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①标的说明一览表</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②技术和服务要求响应表</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③商务条件响应表</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④投标人提交的其他资料（若有）</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⑤招标文件规定作为投标文件组成部分的其他内容（若有）</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10.3投标文件的语言</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（1）除招标文件另有规定外，投标文件应使用中文文本，若有不同文本，以中文文本为准。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10.4投标文件的份数：详见招标文件第二章。</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10.5投标文件的格式</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（1）除招标文件另有规定外，投标文件应使用招标文件第七章规定的格式。</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（2）除招标文件另有规定外，投标文件的正本和全部副本均应使用不能擦去的墨料或墨水打印、书写或复印，其中：</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①正本应用</w:t>
      </w:r>
      <w:r>
        <w:rPr>
          <w:rFonts w:hint="default" w:ascii="Calibri" w:hAnsi="Calibri" w:cs="Calibri"/>
          <w:color w:val="auto"/>
          <w:spacing w:val="0"/>
          <w:sz w:val="24"/>
          <w:szCs w:val="24"/>
        </w:rPr>
        <w:t>A4</w:t>
      </w:r>
      <w:r>
        <w:rPr>
          <w:rFonts w:hint="eastAsia" w:ascii="宋体" w:hAnsi="宋体" w:eastAsia="宋体" w:cs="宋体"/>
          <w:color w:val="auto"/>
          <w:spacing w:val="0"/>
          <w:sz w:val="24"/>
          <w:szCs w:val="24"/>
        </w:rPr>
        <w:t>幅面纸张打印装订，编制封面（封面标明“正本”字样）、索引、页码，并用胶装装订成册。</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②副本应用</w:t>
      </w:r>
      <w:r>
        <w:rPr>
          <w:rFonts w:hint="default" w:ascii="Calibri" w:hAnsi="Calibri" w:cs="Calibri"/>
          <w:color w:val="auto"/>
          <w:spacing w:val="0"/>
          <w:sz w:val="24"/>
          <w:szCs w:val="24"/>
        </w:rPr>
        <w:t>A4</w:t>
      </w:r>
      <w:r>
        <w:rPr>
          <w:rFonts w:hint="eastAsia" w:ascii="宋体" w:hAnsi="宋体" w:eastAsia="宋体" w:cs="宋体"/>
          <w:color w:val="auto"/>
          <w:spacing w:val="0"/>
          <w:sz w:val="24"/>
          <w:szCs w:val="24"/>
        </w:rPr>
        <w:t>幅面纸张打印装订，编制封面（封面标明“副本”字样）、索引、页码，并用胶装装订成册；副本可用正本的完整复印件，并与正本保持一致（若不一致，以正本为准）。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③允许散装或活页装订的内容或材料：详见招标文件第二章。</w:t>
      </w:r>
    </w:p>
    <w:p>
      <w:pPr>
        <w:pStyle w:val="6"/>
        <w:keepNext w:val="0"/>
        <w:keepLines w:val="0"/>
        <w:widowControl/>
        <w:suppressLineNumbers w:val="0"/>
        <w:spacing w:before="75" w:beforeAutospacing="0" w:after="75" w:afterAutospacing="0"/>
        <w:ind w:left="0" w:right="0" w:firstLine="480"/>
        <w:rPr>
          <w:color w:val="auto"/>
        </w:rPr>
      </w:pPr>
      <w:r>
        <w:rPr>
          <w:rStyle w:val="9"/>
          <w:rFonts w:hint="eastAsia" w:ascii="宋体" w:hAnsi="宋体" w:eastAsia="宋体" w:cs="宋体"/>
          <w:b/>
          <w:color w:val="auto"/>
          <w:spacing w:val="0"/>
          <w:sz w:val="24"/>
          <w:szCs w:val="24"/>
        </w:rPr>
        <w:t>※除本章第</w:t>
      </w:r>
      <w:r>
        <w:rPr>
          <w:rStyle w:val="9"/>
          <w:rFonts w:hint="default" w:ascii="Calibri" w:hAnsi="Calibri" w:cs="Calibri"/>
          <w:b/>
          <w:color w:val="auto"/>
          <w:spacing w:val="0"/>
          <w:sz w:val="24"/>
          <w:szCs w:val="24"/>
        </w:rPr>
        <w:t>10.5</w:t>
      </w:r>
      <w:r>
        <w:rPr>
          <w:rStyle w:val="9"/>
          <w:rFonts w:hint="eastAsia" w:ascii="宋体" w:hAnsi="宋体" w:eastAsia="宋体" w:cs="宋体"/>
          <w:b/>
          <w:color w:val="auto"/>
          <w:spacing w:val="0"/>
          <w:sz w:val="24"/>
          <w:szCs w:val="24"/>
        </w:rPr>
        <w:t>条第（</w:t>
      </w:r>
      <w:r>
        <w:rPr>
          <w:rStyle w:val="9"/>
          <w:rFonts w:hint="default" w:ascii="Calibri" w:hAnsi="Calibri" w:cs="Calibri"/>
          <w:b/>
          <w:color w:val="auto"/>
          <w:spacing w:val="0"/>
          <w:sz w:val="24"/>
          <w:szCs w:val="24"/>
        </w:rPr>
        <w:t>2</w:t>
      </w:r>
      <w:r>
        <w:rPr>
          <w:rStyle w:val="9"/>
          <w:rFonts w:hint="eastAsia" w:ascii="宋体" w:hAnsi="宋体" w:eastAsia="宋体" w:cs="宋体"/>
          <w:b/>
          <w:color w:val="auto"/>
          <w:spacing w:val="0"/>
          <w:sz w:val="24"/>
          <w:szCs w:val="24"/>
        </w:rPr>
        <w:t>）款第③点规定情形外，投标文件散装或活页装订将导致投标无效。</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（3）除招标文件另有规定外，投标文件应使用人民币作为计量货币。</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（4）除招标文件另有规定外，签署、盖章应遵守下列规定：</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①投标文件应由投标人代表签字并加盖投标人的单位公章。若投标人代表为单位负责人授权的委托代理人，应提供“单位负责人授权书”。</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②投标文件应没有涂改或行间插字，除非这些改动是根据</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的指示进行的，或是为改正投标人造成的应修改的错误而进行的。若有前述改动，应按照下列规定之一对改动处进行处理：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a.投标人代表签字确认；</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b.加盖投标人的单位公章或校正章。</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10.6投标报价</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（1）投标报价超出最高限价将导致</w:t>
      </w:r>
      <w:r>
        <w:rPr>
          <w:rStyle w:val="9"/>
          <w:rFonts w:hint="eastAsia" w:ascii="宋体" w:hAnsi="宋体" w:eastAsia="宋体" w:cs="宋体"/>
          <w:b/>
          <w:color w:val="auto"/>
          <w:spacing w:val="0"/>
          <w:sz w:val="24"/>
          <w:szCs w:val="24"/>
        </w:rPr>
        <w:t>投标无效。</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（2）最高限价由采购人根据价格测算情况，在预算金额的额度内合理设定。最高限价不得超出预算金额。</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（3）除招标文件另有规定外，投标文件不能出现任何选择性的投标报价，即每一个合同包和品目号的采购标的都只能有一个投标报价。任何选择性的投标报价将导致</w:t>
      </w:r>
      <w:r>
        <w:rPr>
          <w:rStyle w:val="9"/>
          <w:rFonts w:hint="eastAsia" w:ascii="宋体" w:hAnsi="宋体" w:eastAsia="宋体" w:cs="宋体"/>
          <w:b/>
          <w:color w:val="auto"/>
          <w:spacing w:val="0"/>
          <w:sz w:val="24"/>
          <w:szCs w:val="24"/>
        </w:rPr>
        <w:t>投标无效。</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10.7分包</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（1）是否允许中标人将本项目的非主体、非关键性工作进行分包：详见招标文件第二章。</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（2）若允许中标人将本项目的非主体、非关键性工作进行分包且投标人拟在中标后进行分包，则投标人应在投标文件中载明分包承担主体，分包承担主体应具备相应资质条件（若有）且不得再次分包。</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（3）招标文件允许中标人将非主体、非关键性工作进行分包的项目，有下列情形之一的，中标人不得分包：</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①投标文件中未载明分包承担主体；</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②投标文件载明的分包承担主体不具备相应资质条件；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③投标文件载明的分包承担主体拟再次分包。</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10.8投标有效期</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（1）招标文件载明的投标有效期：详见招标文件第二章。</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（2）投标文件承诺的投标有效期不得少于招标文件载明的投标有效期，否则</w:t>
      </w:r>
      <w:r>
        <w:rPr>
          <w:rStyle w:val="9"/>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（3）根据本次采购活动的需要，</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可于投标有效期届满之前书面要求投标人延长投标有效期，投标人应在</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10.9投标保证金</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（1）投标保证金作为投标人按照招标文件规定履行相应投标责任、义务的约束及担保。</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（2）投标保证金的有效期应与投标文件承诺的投标有效期保持一致，否则</w:t>
      </w:r>
      <w:r>
        <w:rPr>
          <w:rStyle w:val="9"/>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（3）提交</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①投标人应从其银行账户</w:t>
      </w:r>
      <w:r>
        <w:rPr>
          <w:rStyle w:val="9"/>
          <w:rFonts w:hint="eastAsia" w:ascii="宋体" w:hAnsi="宋体" w:eastAsia="宋体" w:cs="宋体"/>
          <w:b/>
          <w:color w:val="auto"/>
          <w:spacing w:val="0"/>
          <w:sz w:val="24"/>
          <w:szCs w:val="24"/>
        </w:rPr>
        <w:t>（基本存款账户）</w:t>
      </w:r>
      <w:r>
        <w:rPr>
          <w:rFonts w:hint="eastAsia" w:ascii="宋体" w:hAnsi="宋体" w:eastAsia="宋体" w:cs="宋体"/>
          <w:color w:val="auto"/>
          <w:spacing w:val="0"/>
          <w:sz w:val="24"/>
          <w:szCs w:val="24"/>
        </w:rPr>
        <w:t>按照下列方式：</w:t>
      </w:r>
      <w:r>
        <w:rPr>
          <w:rStyle w:val="9"/>
          <w:rFonts w:hint="eastAsia" w:ascii="宋体" w:hAnsi="宋体" w:eastAsia="宋体" w:cs="宋体"/>
          <w:b/>
          <w:color w:val="auto"/>
          <w:spacing w:val="0"/>
          <w:sz w:val="24"/>
          <w:szCs w:val="24"/>
        </w:rPr>
        <w:t>公对公转账方式</w:t>
      </w:r>
      <w:r>
        <w:rPr>
          <w:rFonts w:hint="eastAsia" w:ascii="宋体" w:hAnsi="宋体" w:eastAsia="宋体" w:cs="宋体"/>
          <w:color w:val="auto"/>
          <w:spacing w:val="0"/>
          <w:sz w:val="24"/>
          <w:szCs w:val="24"/>
        </w:rPr>
        <w:t>向招标文件载明的投标保证金账户提交投标保证金，具体金额详见招标文件第一章。</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②投标保证金应于投标截止时间前到达招标文件载明的投标保证金账户，否则视为投标保证金未提交；是否到达按照下列方式认定：</w:t>
      </w:r>
      <w:r>
        <w:rPr>
          <w:rStyle w:val="9"/>
          <w:rFonts w:hint="eastAsia" w:ascii="宋体" w:hAnsi="宋体" w:eastAsia="宋体" w:cs="宋体"/>
          <w:b/>
          <w:color w:val="auto"/>
          <w:spacing w:val="0"/>
          <w:sz w:val="24"/>
          <w:szCs w:val="24"/>
        </w:rPr>
        <w:t>以福建省政府采购网上公开信息系统记载的为准。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③若本项目接受联合体投标且投标人为联合体，则联合体中的牵头方应按照本章第</w:t>
      </w:r>
      <w:r>
        <w:rPr>
          <w:rFonts w:hint="default" w:ascii="Calibri" w:hAnsi="Calibri" w:cs="Calibri"/>
          <w:color w:val="auto"/>
          <w:spacing w:val="0"/>
          <w:sz w:val="24"/>
          <w:szCs w:val="24"/>
        </w:rPr>
        <w:t>10.9</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）款第①、②点规定提交投标保证金。</w:t>
      </w:r>
    </w:p>
    <w:p>
      <w:pPr>
        <w:pStyle w:val="6"/>
        <w:keepNext w:val="0"/>
        <w:keepLines w:val="0"/>
        <w:widowControl/>
        <w:suppressLineNumbers w:val="0"/>
        <w:spacing w:before="75" w:beforeAutospacing="0" w:after="75" w:afterAutospacing="0"/>
        <w:ind w:left="0" w:right="0" w:firstLine="480"/>
        <w:rPr>
          <w:color w:val="auto"/>
        </w:rPr>
      </w:pPr>
      <w:r>
        <w:rPr>
          <w:rStyle w:val="9"/>
          <w:rFonts w:hint="eastAsia" w:ascii="宋体" w:hAnsi="宋体" w:eastAsia="宋体" w:cs="宋体"/>
          <w:b/>
          <w:color w:val="auto"/>
          <w:spacing w:val="0"/>
          <w:sz w:val="24"/>
          <w:szCs w:val="24"/>
        </w:rPr>
        <w:t>※除招标文件另有规定外，未按照上述规定提交投标保证金将导致资格审查不合格。</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（4）退还</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①在投标截止时间前撤回已提交的投标文件的投标人，其投标保证金将在</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收到投标人书面撤回通知之日起5个工作日内退回原账户。</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②未中标人的投标保证金将在中标通知书发出之日起</w:t>
      </w:r>
      <w:r>
        <w:rPr>
          <w:rFonts w:hint="default" w:ascii="Calibri" w:hAnsi="Calibri" w:cs="Calibri"/>
          <w:color w:val="auto"/>
          <w:spacing w:val="0"/>
          <w:sz w:val="24"/>
          <w:szCs w:val="24"/>
        </w:rPr>
        <w:t>5</w:t>
      </w:r>
      <w:r>
        <w:rPr>
          <w:rFonts w:hint="eastAsia" w:ascii="宋体" w:hAnsi="宋体" w:eastAsia="宋体" w:cs="宋体"/>
          <w:color w:val="auto"/>
          <w:spacing w:val="0"/>
          <w:sz w:val="24"/>
          <w:szCs w:val="24"/>
        </w:rPr>
        <w:t>个工作日内退回原账户。</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③中标人的投标保证金将在政府采购合同签订之日起</w:t>
      </w:r>
      <w:r>
        <w:rPr>
          <w:rFonts w:hint="default" w:ascii="Calibri" w:hAnsi="Calibri" w:cs="Calibri"/>
          <w:color w:val="auto"/>
          <w:spacing w:val="0"/>
          <w:sz w:val="24"/>
          <w:szCs w:val="24"/>
        </w:rPr>
        <w:t>5</w:t>
      </w:r>
      <w:r>
        <w:rPr>
          <w:rFonts w:hint="eastAsia" w:ascii="宋体" w:hAnsi="宋体" w:eastAsia="宋体" w:cs="宋体"/>
          <w:color w:val="auto"/>
          <w:spacing w:val="0"/>
          <w:sz w:val="24"/>
          <w:szCs w:val="24"/>
        </w:rPr>
        <w:t>个工作日内退回原账户；合同签订之日按照下列方式认定：</w:t>
      </w:r>
      <w:r>
        <w:rPr>
          <w:rStyle w:val="9"/>
          <w:rFonts w:hint="eastAsia" w:ascii="宋体" w:hAnsi="宋体" w:eastAsia="宋体" w:cs="宋体"/>
          <w:b/>
          <w:color w:val="auto"/>
          <w:spacing w:val="0"/>
          <w:sz w:val="24"/>
          <w:szCs w:val="24"/>
        </w:rPr>
        <w:t>以福建省政府采购网上公开信息系统记载的为准。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④终止招标的，</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将在终止公告发布之日起5个工作日内退回已收取的投标保证金及其在银行产生的孳息。</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⑤除招标文件另有规定外，质疑或投诉涉及的投标人，若投标保证金尚未退还，则待质疑或投诉处理完毕后不计利息原额退还。</w:t>
      </w:r>
    </w:p>
    <w:p>
      <w:pPr>
        <w:pStyle w:val="6"/>
        <w:keepNext w:val="0"/>
        <w:keepLines w:val="0"/>
        <w:widowControl/>
        <w:suppressLineNumbers w:val="0"/>
        <w:spacing w:before="75" w:beforeAutospacing="0" w:after="75" w:afterAutospacing="0"/>
        <w:ind w:left="0" w:right="0" w:firstLine="480"/>
        <w:rPr>
          <w:color w:val="auto"/>
        </w:rPr>
      </w:pPr>
      <w:r>
        <w:rPr>
          <w:rStyle w:val="9"/>
          <w:rFonts w:hint="eastAsia" w:ascii="宋体" w:hAnsi="宋体" w:eastAsia="宋体" w:cs="宋体"/>
          <w:b/>
          <w:color w:val="auto"/>
          <w:spacing w:val="0"/>
          <w:sz w:val="24"/>
          <w:szCs w:val="24"/>
        </w:rPr>
        <w:t>※本章第</w:t>
      </w:r>
      <w:r>
        <w:rPr>
          <w:rStyle w:val="9"/>
          <w:rFonts w:hint="default" w:ascii="Calibri" w:hAnsi="Calibri" w:cs="Calibri"/>
          <w:b/>
          <w:color w:val="auto"/>
          <w:spacing w:val="0"/>
          <w:sz w:val="24"/>
          <w:szCs w:val="24"/>
        </w:rPr>
        <w:t>10.9</w:t>
      </w:r>
      <w:r>
        <w:rPr>
          <w:rStyle w:val="9"/>
          <w:rFonts w:hint="eastAsia" w:ascii="宋体" w:hAnsi="宋体" w:eastAsia="宋体" w:cs="宋体"/>
          <w:b/>
          <w:color w:val="auto"/>
          <w:spacing w:val="0"/>
          <w:sz w:val="24"/>
          <w:szCs w:val="24"/>
        </w:rPr>
        <w:t>条第（</w:t>
      </w:r>
      <w:r>
        <w:rPr>
          <w:rStyle w:val="9"/>
          <w:rFonts w:hint="default" w:ascii="Calibri" w:hAnsi="Calibri" w:cs="Calibri"/>
          <w:b/>
          <w:color w:val="auto"/>
          <w:spacing w:val="0"/>
          <w:sz w:val="24"/>
          <w:szCs w:val="24"/>
        </w:rPr>
        <w:t>4</w:t>
      </w:r>
      <w:r>
        <w:rPr>
          <w:rStyle w:val="9"/>
          <w:rFonts w:hint="eastAsia" w:ascii="宋体" w:hAnsi="宋体" w:eastAsia="宋体" w:cs="宋体"/>
          <w:b/>
          <w:color w:val="auto"/>
          <w:spacing w:val="0"/>
          <w:sz w:val="24"/>
          <w:szCs w:val="24"/>
        </w:rPr>
        <w:t>）款第①、②、③点规定的投标保证金退还时限不包括因投标人自身原因导致无法及时退还而增加的时间。</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（5）若出现本章第</w:t>
      </w:r>
      <w:r>
        <w:rPr>
          <w:rFonts w:hint="default" w:ascii="Calibri" w:hAnsi="Calibri" w:cs="Calibri"/>
          <w:color w:val="auto"/>
          <w:spacing w:val="0"/>
          <w:sz w:val="24"/>
          <w:szCs w:val="24"/>
        </w:rPr>
        <w:t>10.8</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（6）有下列情形之一的，投标保证金将不予退还：</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①投标人串通投标；</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②投标人提供虚假材料；</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③投标人采取不正当手段诋毁、排挤其他投标人；</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④投标截止时间后，投标人在投标有效期内撤销投标文件；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⑤投标人不接受评标委员会按照招标文件规定对投标报价错误之处进行修正；</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⑥投标人违反招标文件第三章第</w:t>
      </w:r>
      <w:r>
        <w:rPr>
          <w:rFonts w:hint="default" w:ascii="Calibri" w:hAnsi="Calibri" w:cs="Calibri"/>
          <w:color w:val="auto"/>
          <w:spacing w:val="0"/>
          <w:sz w:val="24"/>
          <w:szCs w:val="24"/>
        </w:rPr>
        <w:t>9.4</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9.5</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9.6</w:t>
      </w:r>
      <w:r>
        <w:rPr>
          <w:rFonts w:hint="eastAsia" w:ascii="宋体" w:hAnsi="宋体" w:eastAsia="宋体" w:cs="宋体"/>
          <w:color w:val="auto"/>
          <w:spacing w:val="0"/>
          <w:sz w:val="24"/>
          <w:szCs w:val="24"/>
        </w:rPr>
        <w:t>条规定之一；</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⑦招标文件规定的其他不予退还情形；</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⑧中标人有下列情形之一的：</w:t>
      </w:r>
    </w:p>
    <w:p>
      <w:pPr>
        <w:pStyle w:val="6"/>
        <w:keepNext w:val="0"/>
        <w:keepLines w:val="0"/>
        <w:widowControl/>
        <w:suppressLineNumbers w:val="0"/>
        <w:spacing w:before="75" w:beforeAutospacing="0" w:after="75" w:afterAutospacing="0"/>
        <w:ind w:left="0" w:right="0" w:firstLine="480"/>
        <w:rPr>
          <w:color w:val="auto"/>
        </w:rPr>
      </w:pPr>
      <w:r>
        <w:rPr>
          <w:rFonts w:hint="default" w:ascii="Calibri" w:hAnsi="Calibri" w:cs="Calibri"/>
          <w:color w:val="auto"/>
          <w:spacing w:val="0"/>
          <w:sz w:val="24"/>
          <w:szCs w:val="24"/>
        </w:rPr>
        <w:t>a</w:t>
      </w:r>
      <w:r>
        <w:rPr>
          <w:rFonts w:hint="eastAsia" w:ascii="宋体" w:hAnsi="宋体" w:eastAsia="宋体" w:cs="宋体"/>
          <w:color w:val="auto"/>
          <w:spacing w:val="0"/>
          <w:sz w:val="24"/>
          <w:szCs w:val="24"/>
        </w:rPr>
        <w:t>.除不可抗力外，因中标人自身原因未在中标通知书要求的期限内与采购人签订政府采购合同；</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b.未按照招标文件、投标文件的约定签订政府采购合同或提交履约保证金。</w:t>
      </w:r>
    </w:p>
    <w:p>
      <w:pPr>
        <w:pStyle w:val="6"/>
        <w:keepNext w:val="0"/>
        <w:keepLines w:val="0"/>
        <w:widowControl/>
        <w:suppressLineNumbers w:val="0"/>
        <w:spacing w:before="75" w:beforeAutospacing="0" w:after="75" w:afterAutospacing="0"/>
        <w:ind w:left="0" w:right="0" w:firstLine="480"/>
        <w:rPr>
          <w:color w:val="auto"/>
        </w:rPr>
      </w:pPr>
      <w:r>
        <w:rPr>
          <w:rStyle w:val="9"/>
          <w:rFonts w:hint="eastAsia" w:ascii="宋体" w:hAnsi="宋体" w:eastAsia="宋体" w:cs="宋体"/>
          <w:b/>
          <w:color w:val="auto"/>
          <w:spacing w:val="0"/>
          <w:sz w:val="24"/>
          <w:szCs w:val="24"/>
        </w:rPr>
        <w:t>※若上述投标保证金不予退还情形给采购人（采购代理机构）造成损失，则投标人还要承担相应的赔偿责任。</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10.10投标文件的提交</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（1）一个投标人只能提交一个投标文件，并按照招标文件第一章规定将其送达。</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（2）密封及其标记的具体形式：详见招标文件第二章。</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10.11投标文件的补充、修改或撤回</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（1）投标截止时间前，投标人可对所提交的投标文件进行补充、修改或撤回，并书面通知</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（2）补充、修改的内容应按照本章第</w:t>
      </w:r>
      <w:r>
        <w:rPr>
          <w:rFonts w:hint="default" w:ascii="Calibri" w:hAnsi="Calibri" w:cs="Calibri"/>
          <w:color w:val="auto"/>
          <w:spacing w:val="0"/>
          <w:sz w:val="24"/>
          <w:szCs w:val="24"/>
        </w:rPr>
        <w:t>10.5</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4</w:t>
      </w:r>
      <w:r>
        <w:rPr>
          <w:rFonts w:hint="eastAsia" w:ascii="宋体" w:hAnsi="宋体" w:eastAsia="宋体" w:cs="宋体"/>
          <w:color w:val="auto"/>
          <w:spacing w:val="0"/>
          <w:sz w:val="24"/>
          <w:szCs w:val="24"/>
        </w:rPr>
        <w:t>）款规定进行签署、盖章，并按照本章第</w:t>
      </w:r>
      <w:r>
        <w:rPr>
          <w:rFonts w:hint="default" w:ascii="Calibri" w:hAnsi="Calibri" w:cs="Calibri"/>
          <w:color w:val="auto"/>
          <w:spacing w:val="0"/>
          <w:sz w:val="24"/>
          <w:szCs w:val="24"/>
        </w:rPr>
        <w:t>10.10</w:t>
      </w:r>
      <w:r>
        <w:rPr>
          <w:rFonts w:hint="eastAsia" w:ascii="宋体" w:hAnsi="宋体" w:eastAsia="宋体" w:cs="宋体"/>
          <w:color w:val="auto"/>
          <w:spacing w:val="0"/>
          <w:sz w:val="24"/>
          <w:szCs w:val="24"/>
        </w:rPr>
        <w:t>条规定提交，</w:t>
      </w:r>
      <w:r>
        <w:rPr>
          <w:rStyle w:val="9"/>
          <w:rFonts w:hint="eastAsia" w:ascii="宋体" w:hAnsi="宋体" w:eastAsia="宋体" w:cs="宋体"/>
          <w:b/>
          <w:color w:val="auto"/>
          <w:spacing w:val="0"/>
          <w:sz w:val="24"/>
          <w:szCs w:val="24"/>
        </w:rPr>
        <w:t>否则将被拒收。</w:t>
      </w:r>
    </w:p>
    <w:p>
      <w:pPr>
        <w:pStyle w:val="6"/>
        <w:keepNext w:val="0"/>
        <w:keepLines w:val="0"/>
        <w:widowControl/>
        <w:suppressLineNumbers w:val="0"/>
        <w:spacing w:before="75" w:beforeAutospacing="0" w:after="75" w:afterAutospacing="0"/>
        <w:ind w:left="0" w:right="0" w:firstLine="480"/>
        <w:rPr>
          <w:color w:val="auto"/>
        </w:rPr>
      </w:pPr>
      <w:r>
        <w:rPr>
          <w:rStyle w:val="9"/>
          <w:rFonts w:hint="eastAsia" w:ascii="宋体" w:hAnsi="宋体" w:eastAsia="宋体" w:cs="宋体"/>
          <w:b/>
          <w:color w:val="auto"/>
          <w:spacing w:val="0"/>
          <w:sz w:val="24"/>
          <w:szCs w:val="24"/>
        </w:rPr>
        <w:t>※按照上述规定提交的补充、修改内容作为投标文件组成部分。</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10.12除招标文件另有规定外，有下列情形之一的，</w:t>
      </w:r>
      <w:r>
        <w:rPr>
          <w:rStyle w:val="9"/>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（1）投标文件未按照招标文件要求签署、盖章；</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（2）不符合招标文件中规定的资格要求；</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（3）投标报价超过招标文件中规定的预算金额或最高限价；</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（4）投标文件含有采购人不能接受的附加条件；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（5）有关法律、法规和规章及招标文件规定的其他无效情形。</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24"/>
          <w:szCs w:val="24"/>
        </w:rPr>
        <w:t>五、开标</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11、开标</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11.1</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将在招标文件载明的开标时间及地点主持召开开标会，并邀请投标人参加。</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11.2开标会的主持人、唱标人、记录人及其他工作人员（若有）均由</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派出，现场监督人员（若有）可由有关方面派出。</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11.3参加开标会的投标人应签到，非投标人不参加开标会。</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11.4开标会应遵守下列规定：</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（1）首先由主持人宣布开标会须知，然后由投标人代表对投标文件的密封情况进行检查，经确认无误后，由工作人员对密封的投标文件当众拆封。</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（3）记录人对唱标人宣布的内容作开标记录。</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（6）若投标人未参加开标会（包括但不限于投标人派出的人员不是投标人代表），视同其对开标过程和开标记录予以认可。</w:t>
      </w:r>
    </w:p>
    <w:p>
      <w:pPr>
        <w:pStyle w:val="6"/>
        <w:keepNext w:val="0"/>
        <w:keepLines w:val="0"/>
        <w:widowControl/>
        <w:suppressLineNumbers w:val="0"/>
        <w:spacing w:before="75" w:beforeAutospacing="0" w:after="75" w:afterAutospacing="0"/>
        <w:ind w:left="0" w:right="0" w:firstLine="480"/>
        <w:rPr>
          <w:color w:val="auto"/>
        </w:rPr>
      </w:pPr>
      <w:r>
        <w:rPr>
          <w:rStyle w:val="9"/>
          <w:rFonts w:hint="eastAsia" w:ascii="宋体" w:hAnsi="宋体" w:eastAsia="宋体" w:cs="宋体"/>
          <w:b/>
          <w:color w:val="auto"/>
          <w:spacing w:val="0"/>
          <w:sz w:val="24"/>
          <w:szCs w:val="24"/>
        </w:rPr>
        <w:t>※若出现本章第</w:t>
      </w:r>
      <w:r>
        <w:rPr>
          <w:rStyle w:val="9"/>
          <w:rFonts w:hint="default" w:ascii="Calibri" w:hAnsi="Calibri" w:cs="Calibri"/>
          <w:b/>
          <w:color w:val="auto"/>
          <w:spacing w:val="0"/>
          <w:sz w:val="24"/>
          <w:szCs w:val="24"/>
        </w:rPr>
        <w:t>11.4</w:t>
      </w:r>
      <w:r>
        <w:rPr>
          <w:rStyle w:val="9"/>
          <w:rFonts w:hint="eastAsia" w:ascii="宋体" w:hAnsi="宋体" w:eastAsia="宋体" w:cs="宋体"/>
          <w:b/>
          <w:color w:val="auto"/>
          <w:spacing w:val="0"/>
          <w:sz w:val="24"/>
          <w:szCs w:val="24"/>
        </w:rPr>
        <w:t>条第（</w:t>
      </w:r>
      <w:r>
        <w:rPr>
          <w:rStyle w:val="9"/>
          <w:rFonts w:hint="default" w:ascii="Calibri" w:hAnsi="Calibri" w:cs="Calibri"/>
          <w:b/>
          <w:color w:val="auto"/>
          <w:spacing w:val="0"/>
          <w:sz w:val="24"/>
          <w:szCs w:val="24"/>
        </w:rPr>
        <w:t>4</w:t>
      </w:r>
      <w:r>
        <w:rPr>
          <w:rStyle w:val="9"/>
          <w:rFonts w:hint="eastAsia" w:ascii="宋体" w:hAnsi="宋体" w:eastAsia="宋体" w:cs="宋体"/>
          <w:b/>
          <w:color w:val="auto"/>
          <w:spacing w:val="0"/>
          <w:sz w:val="24"/>
          <w:szCs w:val="24"/>
        </w:rPr>
        <w:t>）、（</w:t>
      </w:r>
      <w:r>
        <w:rPr>
          <w:rStyle w:val="9"/>
          <w:rFonts w:hint="default" w:ascii="Calibri" w:hAnsi="Calibri" w:cs="Calibri"/>
          <w:b/>
          <w:color w:val="auto"/>
          <w:spacing w:val="0"/>
          <w:sz w:val="24"/>
          <w:szCs w:val="24"/>
        </w:rPr>
        <w:t>5</w:t>
      </w:r>
      <w:r>
        <w:rPr>
          <w:rStyle w:val="9"/>
          <w:rFonts w:hint="eastAsia" w:ascii="宋体" w:hAnsi="宋体" w:eastAsia="宋体" w:cs="宋体"/>
          <w:b/>
          <w:color w:val="auto"/>
          <w:spacing w:val="0"/>
          <w:sz w:val="24"/>
          <w:szCs w:val="24"/>
        </w:rPr>
        <w:t>）、（</w:t>
      </w:r>
      <w:r>
        <w:rPr>
          <w:rStyle w:val="9"/>
          <w:rFonts w:hint="default" w:ascii="Calibri" w:hAnsi="Calibri" w:cs="Calibri"/>
          <w:b/>
          <w:color w:val="auto"/>
          <w:spacing w:val="0"/>
          <w:sz w:val="24"/>
          <w:szCs w:val="24"/>
        </w:rPr>
        <w:t>6</w:t>
      </w:r>
      <w:r>
        <w:rPr>
          <w:rStyle w:val="9"/>
          <w:rFonts w:hint="eastAsia" w:ascii="宋体" w:hAnsi="宋体" w:eastAsia="宋体" w:cs="宋体"/>
          <w:b/>
          <w:color w:val="auto"/>
          <w:spacing w:val="0"/>
          <w:sz w:val="24"/>
          <w:szCs w:val="24"/>
        </w:rPr>
        <w:t>）款规定情形之一</w:t>
      </w:r>
      <w:r>
        <w:rPr>
          <w:rFonts w:hint="eastAsia" w:ascii="宋体" w:hAnsi="宋体" w:eastAsia="宋体" w:cs="宋体"/>
          <w:color w:val="auto"/>
          <w:spacing w:val="0"/>
          <w:sz w:val="24"/>
          <w:szCs w:val="24"/>
        </w:rPr>
        <w:t>，</w:t>
      </w:r>
      <w:r>
        <w:rPr>
          <w:rStyle w:val="9"/>
          <w:rFonts w:hint="eastAsia" w:ascii="宋体" w:hAnsi="宋体" w:eastAsia="宋体" w:cs="宋体"/>
          <w:b/>
          <w:color w:val="auto"/>
          <w:spacing w:val="0"/>
          <w:sz w:val="24"/>
          <w:szCs w:val="24"/>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color w:val="auto"/>
          <w:spacing w:val="0"/>
          <w:sz w:val="24"/>
          <w:szCs w:val="24"/>
          <w:u w:val="single"/>
        </w:rPr>
        <w:t>福建中实招标有限公司</w:t>
      </w:r>
      <w:r>
        <w:rPr>
          <w:rStyle w:val="9"/>
          <w:rFonts w:hint="eastAsia" w:ascii="宋体" w:hAnsi="宋体" w:eastAsia="宋体" w:cs="宋体"/>
          <w:b/>
          <w:color w:val="auto"/>
          <w:spacing w:val="0"/>
          <w:sz w:val="24"/>
          <w:szCs w:val="24"/>
        </w:rPr>
        <w:t>提出任何疑义或要求（包括质疑）。</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11.5投标截止时间后，参加投标的投标人不足三家的，不进行开标。同时，本次采购活动结束，</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24"/>
          <w:szCs w:val="24"/>
        </w:rPr>
        <w:t>六、中标与政府采购合同</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12、中标</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12.1本项目推荐的中标候选人家数：详见招标文件第二章。</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12.2本项目中标人的确定：详见招标文件第二章。</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12.3中标公告</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（1）中标人确定之日起</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个工作日内，</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将在招标文件载明的指定媒体以中标公告的形式发布中标结果。</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（2）中标公告的公告期限为</w:t>
      </w:r>
      <w:r>
        <w:rPr>
          <w:rFonts w:hint="default" w:ascii="Calibri" w:hAnsi="Calibri" w:cs="Calibri"/>
          <w:color w:val="auto"/>
          <w:spacing w:val="0"/>
          <w:sz w:val="24"/>
          <w:szCs w:val="24"/>
        </w:rPr>
        <w:t>1</w:t>
      </w:r>
      <w:r>
        <w:rPr>
          <w:rFonts w:hint="eastAsia" w:ascii="宋体" w:hAnsi="宋体" w:eastAsia="宋体" w:cs="宋体"/>
          <w:color w:val="auto"/>
          <w:spacing w:val="0"/>
          <w:sz w:val="24"/>
          <w:szCs w:val="24"/>
        </w:rPr>
        <w:t>个工作日。</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（3）中标公告同时作为</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通知除中标人外的其他投标人没有中标的书面形式。</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12.4中标通知书</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（1）中标公告发布的同时，</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将向中标人发出中标通知书。</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（2）中标通知书发出后，采购人不得违法改变中标结果，中标人无正当理由不得放弃中标。</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13、政府采购合同</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13.2签订时限：自中标通知书发出之日起</w:t>
      </w:r>
      <w:r>
        <w:rPr>
          <w:rFonts w:hint="default" w:ascii="Calibri" w:hAnsi="Calibri" w:cs="Calibri"/>
          <w:color w:val="auto"/>
          <w:spacing w:val="0"/>
          <w:sz w:val="24"/>
          <w:szCs w:val="24"/>
        </w:rPr>
        <w:t>30</w:t>
      </w:r>
      <w:r>
        <w:rPr>
          <w:rFonts w:hint="eastAsia" w:ascii="宋体" w:hAnsi="宋体" w:eastAsia="宋体" w:cs="宋体"/>
          <w:color w:val="auto"/>
          <w:spacing w:val="0"/>
          <w:sz w:val="24"/>
          <w:szCs w:val="24"/>
        </w:rPr>
        <w:t>个日历日内。</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13.3政府采购合同的履行、违约责任和解决争议的方法等适用合同法。</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13.4采购人与中标人应根据政府采购合同的约定依法履行合同义务。</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13.5政府采购合同履行过程中，采购人若需追加与合同标的相同的货物或服务，则追加采购金额不得超过原合同采购金额的</w:t>
      </w:r>
      <w:r>
        <w:rPr>
          <w:rFonts w:hint="default" w:ascii="Calibri" w:hAnsi="Calibri" w:cs="Calibri"/>
          <w:color w:val="auto"/>
          <w:spacing w:val="0"/>
          <w:sz w:val="24"/>
          <w:szCs w:val="24"/>
        </w:rPr>
        <w:t>10%</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13.6中标人在政府采购合同履行过程中应遵守有关法律、法规和规章的强制性规定（即使前述强制性规定有可能在招标文件中未予列明）。</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24"/>
          <w:szCs w:val="24"/>
        </w:rPr>
        <w:t>七、询问、质疑与投诉</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14、询问</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14.1潜在投标人或投标人对本次采购活动的有关事项若有疑问，可向福建中实招标有限公司提出询问，福建中实招标有限公司将按照政府采购法及实施条例的有关规定进行答复。</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15、质疑</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15.1</w:t>
      </w:r>
      <w:r>
        <w:rPr>
          <w:rFonts w:hint="eastAsia" w:ascii="宋体" w:hAnsi="宋体" w:eastAsia="宋体" w:cs="宋体"/>
          <w:color w:val="auto"/>
        </w:rPr>
        <w:t>针对同一采购程序环节的质疑应在政府采购法及实施条例规定的时限内一次性提出</w:t>
      </w:r>
      <w:r>
        <w:rPr>
          <w:rFonts w:hint="eastAsia" w:ascii="宋体" w:hAnsi="宋体" w:eastAsia="宋体" w:cs="宋体"/>
          <w:color w:val="auto"/>
          <w:spacing w:val="0"/>
        </w:rPr>
        <w:t>，并同时符合下列条件：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（1）对招标文件提出质疑的，质疑人应为潜在投标人，且两者的身份、名称等均应保持一致。对采购过程、结果提出质疑的，质疑人应为投标人，且两者的身份、名称等均应保持一致。</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（2）质疑人应按照招标文件第二章规定方式提交质疑函。</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（3）质疑函应包括下列主要内容：</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①质疑人的基本信息，至少包括：全称、地址、邮政编码等；</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②所质疑项目的基本信息，至少包括：招标编号、项目名称等；</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③所质疑的具体事项（以下简称：“质疑事项”）；</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针对质疑事项提出的明确请求，前述明确请求指质疑人提出质疑的目的以及希望福建中实招标有限公司对其质疑作出的处理结果，如：暂停招标投标活动、修改招标文件、停止或纠正违法违规行为、中标结果无效、废标、重新招标等；</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⑤针对质疑事项导致质疑人自身权益受到损害的必要证明材料，至少包括：</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a.质疑人代表的身份证明材料：</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a1</w:t>
      </w:r>
      <w:r>
        <w:rPr>
          <w:rFonts w:hint="eastAsia" w:ascii="宋体" w:hAnsi="宋体" w:eastAsia="宋体" w:cs="宋体"/>
          <w:color w:val="auto"/>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宋体" w:hAnsi="宋体" w:eastAsia="宋体" w:cs="宋体"/>
          <w:color w:val="auto"/>
          <w:spacing w:val="0"/>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a2若本项目接受自然人投标且质疑人为自然人的，提供本人的身份证复印件。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w:t>
      </w:r>
      <w:r>
        <w:rPr>
          <w:rFonts w:hint="eastAsia" w:ascii="宋体" w:hAnsi="宋体" w:eastAsia="宋体" w:cs="宋体"/>
          <w:color w:val="auto"/>
        </w:rPr>
        <w:t>其他证明材料（即事实依据和必要的法律依据）</w:t>
      </w:r>
      <w:r>
        <w:rPr>
          <w:rFonts w:hint="eastAsia" w:ascii="宋体" w:hAnsi="宋体" w:eastAsia="宋体" w:cs="宋体"/>
          <w:color w:val="auto"/>
          <w:spacing w:val="0"/>
        </w:rPr>
        <w:t>包括但不限于下列材料：</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b1所质疑的具体事项是与自已有利害关系的证明材料；</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b2质疑函所述事实存在的证明材料，如：采购文件、采购过程或中标结果违法违规或不符合采购文件要求等证明材料；</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b3依法应终止采购程序的证明材料；</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b4应重新采购的证明材料；</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b5采购文件、采购过程或中标、成交结果损害自已合法权益的证明材料等；</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9"/>
          <w:rFonts w:hint="eastAsia" w:ascii="宋体" w:hAnsi="宋体" w:eastAsia="宋体" w:cs="宋体"/>
          <w:b/>
          <w:color w:val="auto"/>
          <w:spacing w:val="0"/>
          <w:sz w:val="24"/>
          <w:szCs w:val="24"/>
        </w:rPr>
        <w:t>视为无效</w:t>
      </w:r>
      <w:r>
        <w:rPr>
          <w:rFonts w:hint="eastAsia" w:ascii="宋体" w:hAnsi="宋体" w:eastAsia="宋体" w:cs="宋体"/>
          <w:color w:val="auto"/>
          <w:spacing w:val="0"/>
          <w:sz w:val="24"/>
          <w:szCs w:val="24"/>
        </w:rPr>
        <w:t>）。</w:t>
      </w:r>
      <w:r>
        <w:rPr>
          <w:rFonts w:hint="eastAsia" w:ascii="宋体" w:hAnsi="宋体" w:eastAsia="宋体" w:cs="宋体"/>
          <w:color w:val="auto"/>
          <w:spacing w:val="0"/>
          <w:sz w:val="24"/>
          <w:szCs w:val="24"/>
        </w:rPr>
        <w:br w:type="textWrapping"/>
      </w:r>
      <w:r>
        <w:rPr>
          <w:rFonts w:hint="eastAsia" w:ascii="宋体" w:hAnsi="宋体" w:eastAsia="宋体" w:cs="宋体"/>
          <w:color w:val="auto"/>
        </w:rPr>
        <w:t>   ⑥质疑人代表及其联系方法的信息，至少包括：姓名、手机、电子信箱、邮寄地址等。</w:t>
      </w:r>
      <w:r>
        <w:rPr>
          <w:rFonts w:hint="eastAsia" w:ascii="宋体" w:hAnsi="宋体" w:eastAsia="宋体" w:cs="宋体"/>
          <w:color w:val="auto"/>
        </w:rPr>
        <w:br w:type="textWrapping"/>
      </w:r>
      <w:r>
        <w:rPr>
          <w:rFonts w:hint="eastAsia" w:ascii="宋体" w:hAnsi="宋体" w:eastAsia="宋体" w:cs="宋体"/>
          <w:color w:val="auto"/>
        </w:rPr>
        <w:t>   ⑦提出质疑的日期。</w:t>
      </w:r>
    </w:p>
    <w:p>
      <w:pPr>
        <w:pStyle w:val="6"/>
        <w:keepNext w:val="0"/>
        <w:keepLines w:val="0"/>
        <w:widowControl/>
        <w:suppressLineNumbers w:val="0"/>
        <w:spacing w:before="0" w:beforeAutospacing="0" w:after="150" w:afterAutospacing="0"/>
        <w:ind w:left="0" w:right="0" w:firstLine="480"/>
        <w:rPr>
          <w:color w:val="auto"/>
        </w:rPr>
      </w:pPr>
      <w:r>
        <w:rPr>
          <w:rStyle w:val="9"/>
          <w:rFonts w:hint="eastAsia" w:ascii="宋体" w:hAnsi="宋体" w:eastAsia="宋体" w:cs="宋体"/>
          <w:b/>
          <w:color w:val="auto"/>
          <w:sz w:val="24"/>
          <w:szCs w:val="24"/>
        </w:rPr>
        <w:t>※质疑人为法人或其他组织的，质疑函应由单位负责人或委托代理人签字或盖章，并加盖投标人的单位公章。质疑人为自然人的，质疑函应由本人签字。</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15.2对不符合本章第</w:t>
      </w:r>
      <w:r>
        <w:rPr>
          <w:rFonts w:hint="default" w:ascii="Calibri" w:hAnsi="Calibri" w:cs="Calibri"/>
          <w:color w:val="auto"/>
          <w:spacing w:val="0"/>
          <w:sz w:val="24"/>
          <w:szCs w:val="24"/>
        </w:rPr>
        <w:t>15.1</w:t>
      </w:r>
      <w:r>
        <w:rPr>
          <w:rFonts w:hint="eastAsia" w:ascii="宋体" w:hAnsi="宋体" w:eastAsia="宋体" w:cs="宋体"/>
          <w:color w:val="auto"/>
          <w:spacing w:val="0"/>
          <w:sz w:val="24"/>
          <w:szCs w:val="24"/>
        </w:rPr>
        <w:t>条规定的质疑，将按照下列规定进行处理：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（1）不符合其中第（</w:t>
      </w:r>
      <w:r>
        <w:rPr>
          <w:rFonts w:hint="default" w:ascii="Calibri" w:hAnsi="Calibri" w:cs="Calibri"/>
          <w:color w:val="auto"/>
          <w:spacing w:val="0"/>
          <w:sz w:val="24"/>
          <w:szCs w:val="24"/>
        </w:rPr>
        <w:t>1</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）条规定的，书面告知质疑人不予受理及其理由。</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（2）不符合其中第（</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）条规定的，书面告知质疑人修改、补充后在规定时限内重新提交质疑函。</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15.3对符合本章第</w:t>
      </w:r>
      <w:r>
        <w:rPr>
          <w:rFonts w:hint="default" w:ascii="Calibri" w:hAnsi="Calibri" w:cs="Calibri"/>
          <w:color w:val="auto"/>
          <w:spacing w:val="0"/>
          <w:sz w:val="24"/>
          <w:szCs w:val="24"/>
        </w:rPr>
        <w:t>15.1</w:t>
      </w:r>
      <w:r>
        <w:rPr>
          <w:rFonts w:hint="eastAsia" w:ascii="宋体" w:hAnsi="宋体" w:eastAsia="宋体" w:cs="宋体"/>
          <w:color w:val="auto"/>
          <w:spacing w:val="0"/>
          <w:sz w:val="24"/>
          <w:szCs w:val="24"/>
        </w:rPr>
        <w:t>条规定的质疑，将按照政府采购法及实施条例</w:t>
      </w:r>
      <w:r>
        <w:rPr>
          <w:rFonts w:hint="eastAsia" w:ascii="宋体" w:hAnsi="宋体" w:eastAsia="宋体" w:cs="宋体"/>
          <w:color w:val="auto"/>
        </w:rPr>
        <w:t>、政府采购质疑和投诉办法</w:t>
      </w:r>
      <w:r>
        <w:rPr>
          <w:rFonts w:hint="eastAsia" w:ascii="宋体" w:hAnsi="宋体" w:eastAsia="宋体" w:cs="宋体"/>
          <w:color w:val="auto"/>
          <w:spacing w:val="0"/>
        </w:rPr>
        <w:t>的有关规定进行答复。</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15.4招标文件的质疑：详见招标文件第二章。</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16、投诉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4"/>
          <w:szCs w:val="24"/>
        </w:rPr>
        <w:t>16.1若对质疑答复不满意或质疑答复未在答复期限内作出，质疑人可在答复期限届满之日起</w:t>
      </w:r>
      <w:r>
        <w:rPr>
          <w:rFonts w:hint="default" w:ascii="Calibri" w:hAnsi="Calibri" w:eastAsia="宋体" w:cs="Calibri"/>
          <w:color w:val="auto"/>
          <w:sz w:val="24"/>
          <w:szCs w:val="24"/>
        </w:rPr>
        <w:t>15</w:t>
      </w:r>
      <w:r>
        <w:rPr>
          <w:rFonts w:hint="eastAsia" w:ascii="宋体" w:hAnsi="宋体" w:eastAsia="宋体" w:cs="宋体"/>
          <w:color w:val="auto"/>
          <w:sz w:val="24"/>
          <w:szCs w:val="24"/>
        </w:rPr>
        <w:t>个工作日内按照政府采购质疑和投诉办法的有关规定向招标文件第二章载明的本项目监督管理部门提起投诉。</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16.2投诉应有明确的请求和必要的证明材料，投诉的事项不得超出已质疑事项的范围。</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24"/>
          <w:szCs w:val="24"/>
        </w:rPr>
        <w:t>八、政府采购政策</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17、政府采购政策由财政部根据国家的经济和社会发展政策并会同国家有关部委制定，包括但不限于下列具体政策要求：</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17.1进口产品指通过中国海关报关验放进入中国境内且产自关境外的产品，其中：</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（2）凡在海关特殊监管区域内企业生产或加工（包括从境外进口料件）销往境内其他地区的产品，不作为政府采购项下进口产品。</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（3）对从境外进入海关特殊监管区域，再经办理报关手续后从海关特殊监管区进入境内其他地区的产品，认定为进口产品。</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（4）招标文件列明不允许或未列明允许进口产品参加投标的，均视为拒绝进口产品参加投标。</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17.2节能产品指列入财政部、国家发展和改革委员会《节能产品政府采购清单》（以下简称：“节能清单”）且认证证书在有效期内的产品。环境标志产品指列入财政部、生态环境部《环境标志产品政府采购清单》（以下简称：“环保清单”）且认证证书在有效期内的产品，或及国家确定的认证机构出具的、处于有效期之内的节能产品、环境标志产品认证证书的产品。其中：</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节能清单所列产品包括政府强制采购和优先采购的节能产品。未列入节能清单的产品，不属于政府强制采购、优先采购的节能产品（以下分别简称：“强制类节能产品”、“优先类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（3）对于同时列入节能清单和环保清单的产品，优先于只列入其中一个清单的产品。</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（4）在财政部会同上述国家部委调整公布最新一期节能或环保清单通知发布之前已经开展但尚未进入评审环节的采购活动，按照招标文件约定的期数执行。在发布之后开展的采购活动，按照最新一期执行。</w:t>
      </w:r>
      <w:r>
        <w:rPr>
          <w:rFonts w:hint="eastAsia" w:ascii="宋体" w:hAnsi="宋体" w:eastAsia="宋体" w:cs="宋体"/>
          <w:color w:val="auto"/>
          <w:spacing w:val="0"/>
          <w:sz w:val="24"/>
          <w:szCs w:val="24"/>
        </w:rPr>
        <w:br w:type="textWrapping"/>
      </w:r>
      <w:r>
        <w:rPr>
          <w:rFonts w:hint="eastAsia" w:ascii="宋体" w:hAnsi="宋体" w:eastAsia="宋体" w:cs="宋体"/>
          <w:color w:val="auto"/>
          <w:spacing w:val="0"/>
          <w:sz w:val="24"/>
          <w:szCs w:val="24"/>
        </w:rPr>
        <w:t>   （5）未在节能清单、环保清单内的产品应提交国家确定的认证机构出具的、处于有效期之内的节能产品、环境标志产品认证证书。</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17.4符合财政部、工信部文件（财库</w:t>
      </w:r>
      <w:r>
        <w:rPr>
          <w:rFonts w:hint="default" w:ascii="Calibri" w:hAnsi="Calibri" w:cs="Calibri"/>
          <w:color w:val="auto"/>
          <w:spacing w:val="0"/>
          <w:sz w:val="24"/>
          <w:szCs w:val="24"/>
        </w:rPr>
        <w:t>[2011]181</w:t>
      </w:r>
      <w:r>
        <w:rPr>
          <w:rFonts w:hint="eastAsia" w:ascii="宋体" w:hAnsi="宋体" w:eastAsia="宋体" w:cs="宋体"/>
          <w:color w:val="auto"/>
          <w:spacing w:val="0"/>
          <w:sz w:val="24"/>
          <w:szCs w:val="24"/>
        </w:rPr>
        <w:t>号）规定的</w:t>
      </w:r>
      <w:r>
        <w:rPr>
          <w:rStyle w:val="9"/>
          <w:rFonts w:hint="eastAsia" w:ascii="宋体" w:hAnsi="宋体" w:eastAsia="宋体" w:cs="宋体"/>
          <w:b/>
          <w:color w:val="auto"/>
          <w:spacing w:val="0"/>
          <w:sz w:val="24"/>
          <w:szCs w:val="24"/>
        </w:rPr>
        <w:t>小型、微型企业</w:t>
      </w:r>
      <w:r>
        <w:rPr>
          <w:rFonts w:hint="eastAsia" w:ascii="宋体" w:hAnsi="宋体" w:eastAsia="宋体" w:cs="宋体"/>
          <w:color w:val="auto"/>
          <w:spacing w:val="0"/>
          <w:sz w:val="24"/>
          <w:szCs w:val="24"/>
        </w:rPr>
        <w:t>可享受扶持政策（如：预留份额、评审中价格扣除等）。符合财政部、司法部文件（财库[2014]68号）规定的监狱企业（以下简称：</w:t>
      </w:r>
      <w:r>
        <w:rPr>
          <w:rStyle w:val="9"/>
          <w:rFonts w:hint="eastAsia" w:ascii="宋体" w:hAnsi="宋体" w:eastAsia="宋体" w:cs="宋体"/>
          <w:b/>
          <w:color w:val="auto"/>
          <w:spacing w:val="0"/>
          <w:sz w:val="24"/>
          <w:szCs w:val="24"/>
        </w:rPr>
        <w:t>“监狱企业”</w:t>
      </w:r>
      <w:r>
        <w:rPr>
          <w:rFonts w:hint="eastAsia" w:ascii="宋体" w:hAnsi="宋体" w:eastAsia="宋体" w:cs="宋体"/>
          <w:color w:val="auto"/>
          <w:spacing w:val="0"/>
          <w:sz w:val="24"/>
          <w:szCs w:val="24"/>
        </w:rPr>
        <w:t>）亦可享受前述扶持政策。符合财政部、民政部、中国残联文件（财库[2017]141号）规定的残疾人福利性单位（以下简称：</w:t>
      </w:r>
      <w:r>
        <w:rPr>
          <w:rStyle w:val="9"/>
          <w:rFonts w:hint="eastAsia" w:ascii="宋体" w:hAnsi="宋体" w:eastAsia="宋体" w:cs="宋体"/>
          <w:b/>
          <w:color w:val="auto"/>
          <w:spacing w:val="0"/>
          <w:sz w:val="24"/>
          <w:szCs w:val="24"/>
        </w:rPr>
        <w:t>“残疾人福利性单位”</w:t>
      </w:r>
      <w:r>
        <w:rPr>
          <w:rFonts w:hint="eastAsia" w:ascii="宋体" w:hAnsi="宋体" w:eastAsia="宋体" w:cs="宋体"/>
          <w:color w:val="auto"/>
          <w:spacing w:val="0"/>
          <w:sz w:val="24"/>
          <w:szCs w:val="24"/>
        </w:rPr>
        <w:t>）亦可享受前述扶持政策。其中：</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（1）中小企业指同时符合下列条件的中型、小型、微型企业：</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①符合《工业和信息化部、国家统计局、国家发展和改革委员会、财政部关于印发中小企业划型标准规定的通知》（工信部联企业</w:t>
      </w:r>
      <w:r>
        <w:rPr>
          <w:rFonts w:hint="default" w:ascii="Calibri" w:hAnsi="Calibri" w:cs="Calibri"/>
          <w:color w:val="auto"/>
          <w:spacing w:val="0"/>
          <w:sz w:val="24"/>
          <w:szCs w:val="24"/>
        </w:rPr>
        <w:t>[2011]300</w:t>
      </w:r>
      <w:r>
        <w:rPr>
          <w:rFonts w:hint="eastAsia" w:ascii="宋体" w:hAnsi="宋体" w:eastAsia="宋体" w:cs="宋体"/>
          <w:color w:val="auto"/>
          <w:spacing w:val="0"/>
          <w:sz w:val="24"/>
          <w:szCs w:val="24"/>
        </w:rPr>
        <w:t>号）规定的划分标准；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②提供本企业制造的货物、承担的工程或服务，或提供其他中小企业制造的货物。本项所称货物不包括使用大型企业注册商标的货物。小型、微型企业提供中型企业制造的货物，视同中型企业。</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①监狱企业参加采购活动时，应提供由省级以上监狱管理局、戒毒管理局（含新疆生产建设兵团）出具的属于监狱企业的证明文件。</w:t>
      </w:r>
    </w:p>
    <w:p>
      <w:pPr>
        <w:pStyle w:val="6"/>
        <w:keepNext w:val="0"/>
        <w:keepLines w:val="0"/>
        <w:widowControl/>
        <w:suppressLineNumbers w:val="0"/>
        <w:spacing w:before="75" w:beforeAutospacing="0" w:after="240" w:afterAutospacing="0"/>
        <w:ind w:left="0" w:right="0" w:firstLine="480"/>
        <w:rPr>
          <w:color w:val="auto"/>
        </w:rPr>
      </w:pPr>
      <w:r>
        <w:rPr>
          <w:rFonts w:hint="eastAsia" w:ascii="宋体" w:hAnsi="宋体" w:eastAsia="宋体" w:cs="宋体"/>
          <w:color w:val="auto"/>
          <w:spacing w:val="0"/>
          <w:sz w:val="24"/>
          <w:szCs w:val="24"/>
        </w:rPr>
        <w:t>②监狱企业视同小型、微型企业。</w:t>
      </w:r>
      <w:r>
        <w:rPr>
          <w:rFonts w:hint="eastAsia" w:ascii="宋体" w:hAnsi="宋体" w:eastAsia="宋体" w:cs="宋体"/>
          <w:color w:val="auto"/>
          <w:spacing w:val="0"/>
          <w:sz w:val="24"/>
          <w:szCs w:val="24"/>
        </w:rPr>
        <w:br w:type="textWrapping"/>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（3）残疾人福利性单位指同时符合下列条件的单位：</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①安置的残疾人占本单位在职职工人数的比例不低于</w:t>
      </w:r>
      <w:r>
        <w:rPr>
          <w:rFonts w:hint="default" w:ascii="Calibri" w:hAnsi="Calibri" w:cs="Calibri"/>
          <w:color w:val="auto"/>
          <w:spacing w:val="0"/>
          <w:sz w:val="24"/>
          <w:szCs w:val="24"/>
        </w:rPr>
        <w:t>25%</w:t>
      </w:r>
      <w:r>
        <w:rPr>
          <w:rFonts w:hint="eastAsia" w:ascii="宋体" w:hAnsi="宋体" w:eastAsia="宋体" w:cs="宋体"/>
          <w:color w:val="auto"/>
          <w:spacing w:val="0"/>
          <w:sz w:val="24"/>
          <w:szCs w:val="24"/>
        </w:rPr>
        <w:t>（含</w:t>
      </w:r>
      <w:r>
        <w:rPr>
          <w:rFonts w:hint="default" w:ascii="Calibri" w:hAnsi="Calibri" w:cs="Calibri"/>
          <w:color w:val="auto"/>
          <w:spacing w:val="0"/>
          <w:sz w:val="24"/>
          <w:szCs w:val="24"/>
        </w:rPr>
        <w:t>25%</w:t>
      </w:r>
      <w:r>
        <w:rPr>
          <w:rFonts w:hint="eastAsia" w:ascii="宋体" w:hAnsi="宋体" w:eastAsia="宋体" w:cs="宋体"/>
          <w:color w:val="auto"/>
          <w:spacing w:val="0"/>
          <w:sz w:val="24"/>
          <w:szCs w:val="24"/>
        </w:rPr>
        <w:t>），并且安置的残疾人人数不少于</w:t>
      </w:r>
      <w:r>
        <w:rPr>
          <w:rFonts w:hint="default" w:ascii="Calibri" w:hAnsi="Calibri" w:cs="Calibri"/>
          <w:color w:val="auto"/>
          <w:spacing w:val="0"/>
          <w:sz w:val="24"/>
          <w:szCs w:val="24"/>
        </w:rPr>
        <w:t>10</w:t>
      </w:r>
      <w:r>
        <w:rPr>
          <w:rFonts w:hint="eastAsia" w:ascii="宋体" w:hAnsi="宋体" w:eastAsia="宋体" w:cs="宋体"/>
          <w:color w:val="auto"/>
          <w:spacing w:val="0"/>
          <w:sz w:val="24"/>
          <w:szCs w:val="24"/>
        </w:rPr>
        <w:t>人（含</w:t>
      </w:r>
      <w:r>
        <w:rPr>
          <w:rFonts w:hint="default" w:ascii="Calibri" w:hAnsi="Calibri" w:cs="Calibri"/>
          <w:color w:val="auto"/>
          <w:spacing w:val="0"/>
          <w:sz w:val="24"/>
          <w:szCs w:val="24"/>
        </w:rPr>
        <w:t>10</w:t>
      </w:r>
      <w:r>
        <w:rPr>
          <w:rFonts w:hint="eastAsia" w:ascii="宋体" w:hAnsi="宋体" w:eastAsia="宋体" w:cs="宋体"/>
          <w:color w:val="auto"/>
          <w:spacing w:val="0"/>
          <w:sz w:val="24"/>
          <w:szCs w:val="24"/>
        </w:rPr>
        <w:t>人）；</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②依法与安置的每位残疾人签订了一年以上（含一年）的劳动合同或服务协议；</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③为安置的每位残疾人按月足额缴纳了基本养老保险、基本医疗保险、失业保险、工伤保险和生育保险等社会保险费；</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④通过银行等金融机构向安置的每位残疾人，按月支付了不低于单位所在区县适用的经省级人民政府批准的月最低工资标准的工资；</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⑤提供本单位制造的货物、承担的工程或服务，或提供其他残疾人福利性单位制造的货物（不包括使用非残疾人福利性单位注册商标的货物）。</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前款所称残疾人指法定劳动年龄内，持有《中华人民共和国残疾人证》或《中华人民共和国残疾军人证（1至</w:t>
      </w:r>
      <w:r>
        <w:rPr>
          <w:rFonts w:hint="default" w:ascii="Calibri" w:hAnsi="Calibri" w:cs="Calibri"/>
          <w:color w:val="auto"/>
          <w:spacing w:val="0"/>
          <w:sz w:val="24"/>
          <w:szCs w:val="24"/>
        </w:rPr>
        <w:t>8</w:t>
      </w:r>
      <w:r>
        <w:rPr>
          <w:rFonts w:hint="eastAsia" w:ascii="宋体" w:hAnsi="宋体" w:eastAsia="宋体" w:cs="宋体"/>
          <w:color w:val="auto"/>
          <w:spacing w:val="0"/>
          <w:sz w:val="24"/>
          <w:szCs w:val="24"/>
        </w:rPr>
        <w:t>级）》的自然人，包括具有劳动条件和劳动意愿的精神残疾人。在职职工人数是指与残疾人福利性单位建立劳动关系并依法签订劳动合同或服务协议的雇员人数。</w:t>
      </w:r>
    </w:p>
    <w:p>
      <w:pPr>
        <w:pStyle w:val="6"/>
        <w:keepNext w:val="0"/>
        <w:keepLines w:val="0"/>
        <w:widowControl/>
        <w:suppressLineNumbers w:val="0"/>
        <w:spacing w:before="75" w:beforeAutospacing="0" w:after="75" w:afterAutospacing="0"/>
        <w:ind w:left="0" w:right="0" w:firstLine="480"/>
        <w:rPr>
          <w:color w:val="auto"/>
        </w:rPr>
      </w:pPr>
      <w:r>
        <w:rPr>
          <w:rStyle w:val="9"/>
          <w:rFonts w:hint="eastAsia" w:ascii="宋体" w:hAnsi="宋体" w:eastAsia="宋体" w:cs="宋体"/>
          <w:b/>
          <w:color w:val="auto"/>
          <w:spacing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17.5信用记录指由财政部确定的有关网站提供的相关主体信用信息。信用记录的查询及使用应符合财政部文件（财库</w:t>
      </w:r>
      <w:r>
        <w:rPr>
          <w:rFonts w:hint="default" w:ascii="Calibri" w:hAnsi="Calibri" w:cs="Calibri"/>
          <w:color w:val="auto"/>
          <w:spacing w:val="0"/>
          <w:sz w:val="24"/>
          <w:szCs w:val="24"/>
        </w:rPr>
        <w:t>[2016]125</w:t>
      </w:r>
      <w:r>
        <w:rPr>
          <w:rFonts w:hint="eastAsia" w:ascii="宋体" w:hAnsi="宋体" w:eastAsia="宋体" w:cs="宋体"/>
          <w:color w:val="auto"/>
          <w:spacing w:val="0"/>
          <w:sz w:val="24"/>
          <w:szCs w:val="24"/>
        </w:rPr>
        <w:t>号）规定。</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17.6为落实政府采购政策需满足的要求：详见招标文件第一章。</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24"/>
          <w:szCs w:val="24"/>
        </w:rPr>
        <w:t>九、本项目的有关信息</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18.1指定媒体：详见招标文件第二章。</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18.2本项目的潜在投标人或投标人应随时关注指定媒体，否则产生不利后果由其自行承担。</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24"/>
          <w:szCs w:val="24"/>
        </w:rPr>
        <w:t>十、其他事项</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19、其他事项：详见招标文件第二章。</w:t>
      </w:r>
    </w:p>
    <w:p>
      <w:pPr>
        <w:pStyle w:val="6"/>
        <w:keepNext w:val="0"/>
        <w:keepLines w:val="0"/>
        <w:widowControl/>
        <w:suppressLineNumbers w:val="0"/>
        <w:spacing w:before="75" w:beforeAutospacing="0" w:after="75" w:afterAutospacing="0"/>
        <w:ind w:left="0" w:right="0" w:firstLine="0"/>
        <w:jc w:val="center"/>
        <w:rPr>
          <w:color w:val="auto"/>
        </w:rPr>
      </w:pPr>
      <w:r>
        <w:rPr>
          <w:color w:val="auto"/>
          <w:spacing w:val="0"/>
          <w:sz w:val="24"/>
          <w:szCs w:val="24"/>
        </w:rPr>
        <w:t> </w:t>
      </w:r>
    </w:p>
    <w:p>
      <w:pPr>
        <w:pStyle w:val="6"/>
        <w:keepNext w:val="0"/>
        <w:keepLines w:val="0"/>
        <w:widowControl/>
        <w:suppressLineNumbers w:val="0"/>
        <w:shd w:val="clear" w:fill="FFFFFF"/>
        <w:spacing w:before="75" w:beforeAutospacing="0" w:after="75" w:afterAutospacing="0"/>
        <w:ind w:left="0" w:right="0" w:firstLine="0"/>
        <w:rPr>
          <w:color w:val="auto"/>
        </w:rPr>
      </w:pPr>
      <w:r>
        <w:rPr>
          <w:rFonts w:hint="eastAsia" w:ascii="微软雅黑" w:hAnsi="微软雅黑" w:eastAsia="微软雅黑" w:cs="微软雅黑"/>
          <w:i w:val="0"/>
          <w:caps w:val="0"/>
          <w:color w:val="auto"/>
          <w:spacing w:val="0"/>
          <w:sz w:val="24"/>
          <w:szCs w:val="24"/>
          <w:shd w:val="clear" w:fill="FFFFFF"/>
        </w:rPr>
        <w:t> </w:t>
      </w:r>
    </w:p>
    <w:p>
      <w:pPr>
        <w:rPr>
          <w:rStyle w:val="9"/>
          <w:rFonts w:hint="eastAsia" w:ascii="宋体" w:hAnsi="宋体" w:eastAsia="宋体" w:cs="宋体"/>
          <w:b/>
          <w:color w:val="auto"/>
          <w:spacing w:val="0"/>
          <w:sz w:val="31"/>
          <w:szCs w:val="31"/>
        </w:rPr>
      </w:pPr>
      <w:r>
        <w:rPr>
          <w:rStyle w:val="9"/>
          <w:rFonts w:hint="eastAsia" w:ascii="宋体" w:hAnsi="宋体" w:eastAsia="宋体" w:cs="宋体"/>
          <w:b/>
          <w:color w:val="auto"/>
          <w:spacing w:val="0"/>
          <w:sz w:val="31"/>
          <w:szCs w:val="31"/>
        </w:rPr>
        <w:br w:type="page"/>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31"/>
          <w:szCs w:val="31"/>
        </w:rPr>
        <w:t>第四章   资格审查与评标</w:t>
      </w:r>
    </w:p>
    <w:p>
      <w:pPr>
        <w:pStyle w:val="6"/>
        <w:keepNext w:val="0"/>
        <w:keepLines w:val="0"/>
        <w:widowControl/>
        <w:suppressLineNumbers w:val="0"/>
        <w:spacing w:before="75" w:beforeAutospacing="0" w:after="75" w:afterAutospacing="0"/>
        <w:ind w:left="0" w:right="0" w:firstLine="0"/>
        <w:jc w:val="center"/>
        <w:rPr>
          <w:color w:val="auto"/>
        </w:rPr>
      </w:pPr>
      <w:r>
        <w:rPr>
          <w:color w:val="auto"/>
          <w:spacing w:val="0"/>
          <w:sz w:val="24"/>
          <w:szCs w:val="24"/>
        </w:rPr>
        <w:t> </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24"/>
          <w:szCs w:val="24"/>
        </w:rPr>
        <w:t>一、资格审查</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1、开标结束后，由</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负责资格审查小组的组建及资格审查工作的组织。</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1.1资格审查小组由</w:t>
      </w:r>
      <w:r>
        <w:rPr>
          <w:rFonts w:hint="default" w:ascii="Calibri" w:hAnsi="Calibri" w:cs="Calibri"/>
          <w:color w:val="auto"/>
          <w:spacing w:val="0"/>
          <w:sz w:val="24"/>
          <w:szCs w:val="24"/>
        </w:rPr>
        <w:t>3</w:t>
      </w:r>
      <w:r>
        <w:rPr>
          <w:rFonts w:hint="eastAsia" w:ascii="宋体" w:hAnsi="宋体" w:eastAsia="宋体" w:cs="宋体"/>
          <w:color w:val="auto"/>
          <w:spacing w:val="0"/>
          <w:sz w:val="24"/>
          <w:szCs w:val="24"/>
        </w:rPr>
        <w:t>人组成，并负责具体审查事务，其中：由采购人派出的采购人代表至少</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人，由</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派出的工作人员至少</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人，其余</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人可为采购人代表或</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的工作人员。</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1.2资格审查的依据是招标文件和投标文件。</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1.3资格审查的范围及内容：投标文件（资格及资信证明部分），具体如下：</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4"/>
          <w:szCs w:val="24"/>
        </w:rPr>
        <w:t>  （1）</w:t>
      </w:r>
      <w:r>
        <w:rPr>
          <w:rFonts w:hint="eastAsia" w:ascii="宋体" w:hAnsi="宋体" w:eastAsia="宋体" w:cs="宋体"/>
          <w:color w:val="auto"/>
          <w:spacing w:val="0"/>
        </w:rPr>
        <w:t>“投标函”；</w:t>
      </w:r>
      <w:r>
        <w:rPr>
          <w:rFonts w:hint="eastAsia" w:ascii="宋体" w:hAnsi="宋体" w:eastAsia="宋体" w:cs="宋体"/>
          <w:color w:val="auto"/>
          <w:spacing w:val="0"/>
        </w:rPr>
        <w:br w:type="textWrapping"/>
      </w:r>
      <w:r>
        <w:rPr>
          <w:rFonts w:hint="eastAsia" w:ascii="宋体" w:hAnsi="宋体" w:eastAsia="宋体" w:cs="宋体"/>
          <w:color w:val="auto"/>
          <w:spacing w:val="0"/>
        </w:rPr>
        <w:t>  （2）“投标人的资格及资信证明文件”</w:t>
      </w:r>
      <w:r>
        <w:rPr>
          <w:rFonts w:hint="eastAsia" w:ascii="宋体" w:hAnsi="宋体" w:eastAsia="宋体" w:cs="宋体"/>
          <w:color w:val="auto"/>
          <w:spacing w:val="0"/>
        </w:rPr>
        <w:br w:type="textWrapping"/>
      </w:r>
      <w:r>
        <w:rPr>
          <w:rFonts w:hint="eastAsia" w:ascii="宋体" w:hAnsi="宋体" w:eastAsia="宋体" w:cs="宋体"/>
          <w:color w:val="auto"/>
          <w:spacing w:val="0"/>
        </w:rPr>
        <w:t>   </w:t>
      </w:r>
      <w:r>
        <w:rPr>
          <w:rFonts w:hint="eastAsia" w:ascii="宋体" w:hAnsi="宋体" w:eastAsia="宋体" w:cs="宋体"/>
          <w:color w:val="auto"/>
        </w:rPr>
        <w:t>①</w:t>
      </w:r>
      <w:r>
        <w:rPr>
          <w:rFonts w:hint="eastAsia" w:ascii="宋体" w:hAnsi="宋体" w:eastAsia="宋体" w:cs="宋体"/>
          <w:color w:val="auto"/>
          <w:spacing w:val="0"/>
        </w:rPr>
        <w:t>一般资格证明文件：</w:t>
      </w:r>
    </w:p>
    <w:tbl>
      <w:tblPr>
        <w:tblStyle w:val="7"/>
        <w:tblW w:w="864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888"/>
        <w:gridCol w:w="475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388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明细</w:t>
            </w:r>
          </w:p>
        </w:tc>
        <w:tc>
          <w:tcPr>
            <w:tcW w:w="475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PrEx>
        <w:tc>
          <w:tcPr>
            <w:tcW w:w="388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单位负责人授权书（若有）</w:t>
            </w:r>
          </w:p>
        </w:tc>
        <w:tc>
          <w:tcPr>
            <w:tcW w:w="475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88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营业执照等证明文件</w:t>
            </w:r>
          </w:p>
        </w:tc>
        <w:tc>
          <w:tcPr>
            <w:tcW w:w="475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c>
          <w:tcPr>
            <w:tcW w:w="388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财务状况报告（财务报告、或资信证明、或投标担保函）</w:t>
            </w:r>
          </w:p>
        </w:tc>
        <w:tc>
          <w:tcPr>
            <w:tcW w:w="475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[2012]124号）的规定。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88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依法缴纳税收证明材料</w:t>
            </w:r>
          </w:p>
        </w:tc>
        <w:tc>
          <w:tcPr>
            <w:tcW w:w="475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c>
          <w:tcPr>
            <w:tcW w:w="388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依法缴纳社会保障资金证明材料</w:t>
            </w:r>
          </w:p>
        </w:tc>
        <w:tc>
          <w:tcPr>
            <w:tcW w:w="475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88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具备履行合同所必需设备和专业技术能力的声明函（若有）</w:t>
            </w:r>
          </w:p>
        </w:tc>
        <w:tc>
          <w:tcPr>
            <w:tcW w:w="475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PrEx>
        <w:tc>
          <w:tcPr>
            <w:tcW w:w="388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参加采购活动前三年内在经营活动中没有重大违法记录书面声明</w:t>
            </w:r>
          </w:p>
        </w:tc>
        <w:tc>
          <w:tcPr>
            <w:tcW w:w="475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88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信用记录查询结果</w:t>
            </w:r>
          </w:p>
        </w:tc>
        <w:tc>
          <w:tcPr>
            <w:tcW w:w="475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PrEx>
        <w:tc>
          <w:tcPr>
            <w:tcW w:w="388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中小企业声明函（专门面向中小企业或小型、微型企业适用，若有）</w:t>
            </w:r>
          </w:p>
        </w:tc>
        <w:tc>
          <w:tcPr>
            <w:tcW w:w="475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388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联合体协议（若有）</w:t>
            </w:r>
          </w:p>
        </w:tc>
        <w:tc>
          <w:tcPr>
            <w:tcW w:w="475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PrEx>
        <w:tc>
          <w:tcPr>
            <w:tcW w:w="388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检察机关行贿犯罪档案查询结果告知函（若有）</w:t>
            </w:r>
          </w:p>
        </w:tc>
        <w:tc>
          <w:tcPr>
            <w:tcW w:w="475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hint="eastAsia" w:ascii="宋体" w:hAnsi="宋体" w:eastAsia="宋体" w:cs="宋体"/>
          <w:color w:val="auto"/>
          <w:spacing w:val="0"/>
          <w:kern w:val="0"/>
          <w:sz w:val="24"/>
          <w:szCs w:val="24"/>
          <w:lang w:val="en-US" w:eastAsia="zh-CN" w:bidi="ar"/>
        </w:rPr>
        <w:t>   ②.其他资格证明文件：</w:t>
      </w:r>
    </w:p>
    <w:p>
      <w:pPr>
        <w:pStyle w:val="6"/>
        <w:keepNext w:val="0"/>
        <w:keepLines w:val="0"/>
        <w:widowControl/>
        <w:suppressLineNumbers w:val="0"/>
        <w:spacing w:before="75" w:beforeAutospacing="0" w:after="75" w:afterAutospacing="0"/>
        <w:ind w:left="0" w:right="0" w:firstLine="480"/>
        <w:rPr>
          <w:color w:val="auto"/>
        </w:rPr>
      </w:pPr>
      <w:r>
        <w:rPr>
          <w:rStyle w:val="9"/>
          <w:b/>
          <w:color w:val="auto"/>
          <w:spacing w:val="0"/>
          <w:sz w:val="24"/>
          <w:szCs w:val="24"/>
        </w:rPr>
        <w:t>包：1</w:t>
      </w:r>
    </w:p>
    <w:tbl>
      <w:tblPr>
        <w:tblStyle w:val="7"/>
        <w:tblW w:w="864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888"/>
        <w:gridCol w:w="475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PrEx>
        <w:trPr>
          <w:tblHeader/>
        </w:trPr>
        <w:tc>
          <w:tcPr>
            <w:tcW w:w="388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明细</w:t>
            </w:r>
          </w:p>
        </w:tc>
        <w:tc>
          <w:tcPr>
            <w:tcW w:w="475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PrEx>
        <w:tc>
          <w:tcPr>
            <w:tcW w:w="388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招标文件规定的其他资格证明文件</w:t>
            </w:r>
          </w:p>
        </w:tc>
        <w:tc>
          <w:tcPr>
            <w:tcW w:w="475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hint="eastAsia" w:ascii="宋体" w:hAnsi="宋体" w:eastAsia="宋体" w:cs="宋体"/>
          <w:color w:val="auto"/>
          <w:spacing w:val="0"/>
          <w:kern w:val="0"/>
          <w:sz w:val="24"/>
          <w:szCs w:val="24"/>
          <w:lang w:val="en-US" w:eastAsia="zh-CN" w:bidi="ar"/>
        </w:rPr>
        <w:t>  （3）投标保证金。</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1.4有下列情形之一的，</w:t>
      </w:r>
      <w:r>
        <w:rPr>
          <w:rStyle w:val="9"/>
          <w:rFonts w:hint="eastAsia" w:ascii="宋体" w:hAnsi="宋体" w:eastAsia="宋体" w:cs="宋体"/>
          <w:b/>
          <w:color w:val="auto"/>
          <w:spacing w:val="0"/>
          <w:sz w:val="24"/>
          <w:szCs w:val="24"/>
        </w:rPr>
        <w:t>资格审查不合格：</w:t>
      </w:r>
      <w:r>
        <w:rPr>
          <w:rStyle w:val="9"/>
          <w:rFonts w:hint="eastAsia" w:ascii="宋体" w:hAnsi="宋体" w:eastAsia="宋体" w:cs="宋体"/>
          <w:b/>
          <w:color w:val="auto"/>
          <w:spacing w:val="0"/>
          <w:sz w:val="24"/>
          <w:szCs w:val="24"/>
        </w:rPr>
        <w:br w:type="textWrapping"/>
      </w:r>
      <w:r>
        <w:rPr>
          <w:rFonts w:hint="eastAsia" w:ascii="宋体" w:hAnsi="宋体" w:eastAsia="宋体" w:cs="宋体"/>
          <w:color w:val="auto"/>
        </w:rPr>
        <w:t>  （1）一般情形：</w:t>
      </w:r>
    </w:p>
    <w:tbl>
      <w:tblPr>
        <w:tblStyle w:val="7"/>
        <w:tblW w:w="864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6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64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64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64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64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未按照招标文件规定提交投标保证金</w:t>
            </w:r>
          </w:p>
        </w:tc>
      </w:tr>
    </w:tbl>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br w:type="textWrapping"/>
      </w:r>
      <w:r>
        <w:rPr>
          <w:rFonts w:hint="eastAsia" w:ascii="宋体" w:hAnsi="宋体" w:eastAsia="宋体" w:cs="宋体"/>
          <w:color w:val="auto"/>
          <w:kern w:val="0"/>
          <w:sz w:val="24"/>
          <w:szCs w:val="24"/>
          <w:lang w:val="en-US" w:eastAsia="zh-CN" w:bidi="ar"/>
        </w:rPr>
        <w:t>  （2）本项目规定的其他情形：</w:t>
      </w:r>
    </w:p>
    <w:p>
      <w:pPr>
        <w:pStyle w:val="6"/>
        <w:keepNext w:val="0"/>
        <w:keepLines w:val="0"/>
        <w:widowControl/>
        <w:suppressLineNumbers w:val="0"/>
        <w:spacing w:before="0" w:beforeAutospacing="0" w:after="150" w:afterAutospacing="0"/>
        <w:ind w:left="0" w:right="0" w:firstLine="480"/>
        <w:rPr>
          <w:color w:val="auto"/>
        </w:rPr>
      </w:pPr>
      <w:r>
        <w:rPr>
          <w:rStyle w:val="9"/>
          <w:b/>
          <w:color w:val="auto"/>
        </w:rPr>
        <w:t>包：1</w:t>
      </w:r>
      <w:r>
        <w:rPr>
          <w:color w:val="auto"/>
        </w:rPr>
        <w:t> </w:t>
      </w:r>
      <w:r>
        <w:rPr>
          <w:color w:val="auto"/>
        </w:rPr>
        <w:br w:type="textWrapping"/>
      </w:r>
      <w:r>
        <w:rPr>
          <w:rStyle w:val="9"/>
          <w:b/>
          <w:color w:val="auto"/>
          <w:sz w:val="24"/>
          <w:szCs w:val="24"/>
        </w:rPr>
        <w:t>         无</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cs="Calibri"/>
          <w:color w:val="auto"/>
          <w:spacing w:val="0"/>
          <w:sz w:val="24"/>
          <w:szCs w:val="24"/>
        </w:rPr>
        <w:t>1.2</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1.3</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1.4</w:t>
      </w:r>
      <w:r>
        <w:rPr>
          <w:rFonts w:hint="eastAsia" w:ascii="宋体" w:hAnsi="宋体" w:eastAsia="宋体" w:cs="宋体"/>
          <w:color w:val="auto"/>
          <w:spacing w:val="0"/>
          <w:sz w:val="24"/>
          <w:szCs w:val="24"/>
        </w:rPr>
        <w:t>条规定进行资格审查。</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2、资格审查情况不得私自外泄，有关信息由</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统一对外发布。</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3、资格审查合格的投标人不足三家的，不进行评标。同时，本次采购活动结束，</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24"/>
          <w:szCs w:val="24"/>
        </w:rPr>
        <w:t>二、评标</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4、</w:t>
      </w:r>
      <w:r>
        <w:rPr>
          <w:rFonts w:hint="eastAsia" w:ascii="宋体" w:hAnsi="宋体" w:eastAsia="宋体" w:cs="宋体"/>
          <w:color w:val="auto"/>
        </w:rPr>
        <w:t>资格审查结束后，由</w:t>
      </w:r>
      <w:r>
        <w:rPr>
          <w:rFonts w:hint="eastAsia" w:ascii="宋体" w:hAnsi="宋体" w:eastAsia="宋体" w:cs="宋体"/>
          <w:color w:val="auto"/>
          <w:spacing w:val="0"/>
        </w:rPr>
        <w:t>福建中实招标有限公司负责评标委员会的组建及评标工作的组织。</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5、评标委员会</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5.1评标委员会由采购人代表和评标专家两部分共</w:t>
      </w:r>
      <w:r>
        <w:rPr>
          <w:rFonts w:hint="eastAsia" w:ascii="宋体" w:hAnsi="宋体" w:eastAsia="宋体" w:cs="宋体"/>
          <w:color w:val="auto"/>
          <w:spacing w:val="0"/>
          <w:sz w:val="24"/>
          <w:szCs w:val="24"/>
          <w:u w:val="single"/>
        </w:rPr>
        <w:t>5</w:t>
      </w:r>
      <w:r>
        <w:rPr>
          <w:rFonts w:hint="eastAsia" w:ascii="宋体" w:hAnsi="宋体" w:eastAsia="宋体" w:cs="宋体"/>
          <w:color w:val="auto"/>
          <w:spacing w:val="0"/>
          <w:sz w:val="24"/>
          <w:szCs w:val="24"/>
        </w:rPr>
        <w:t>人（以下简称“评委”）组成，其中：由采购人派出的采购人代表</w:t>
      </w:r>
      <w:r>
        <w:rPr>
          <w:rFonts w:hint="eastAsia" w:ascii="宋体" w:hAnsi="宋体" w:eastAsia="宋体" w:cs="宋体"/>
          <w:color w:val="auto"/>
          <w:spacing w:val="0"/>
          <w:sz w:val="24"/>
          <w:szCs w:val="24"/>
          <w:u w:val="single"/>
        </w:rPr>
        <w:t>1</w:t>
      </w:r>
      <w:r>
        <w:rPr>
          <w:rFonts w:hint="eastAsia" w:ascii="宋体" w:hAnsi="宋体" w:eastAsia="宋体" w:cs="宋体"/>
          <w:color w:val="auto"/>
          <w:spacing w:val="0"/>
          <w:sz w:val="24"/>
          <w:szCs w:val="24"/>
        </w:rPr>
        <w:t>人，由福建省政府采购评审专家库产生的评标专家</w:t>
      </w:r>
      <w:r>
        <w:rPr>
          <w:rFonts w:hint="eastAsia" w:ascii="宋体" w:hAnsi="宋体" w:eastAsia="宋体" w:cs="宋体"/>
          <w:color w:val="auto"/>
          <w:spacing w:val="0"/>
          <w:sz w:val="24"/>
          <w:szCs w:val="24"/>
          <w:u w:val="single"/>
        </w:rPr>
        <w:t>4</w:t>
      </w:r>
      <w:r>
        <w:rPr>
          <w:rFonts w:hint="eastAsia" w:ascii="宋体" w:hAnsi="宋体" w:eastAsia="宋体" w:cs="宋体"/>
          <w:color w:val="auto"/>
          <w:spacing w:val="0"/>
          <w:sz w:val="24"/>
          <w:szCs w:val="24"/>
        </w:rPr>
        <w:t>人。</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5.2评标委员会负责具体评标事务，并按照下列原则依法独立履行有关职责：</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（1）评标应保护国家利益、社会公共利益和各方当事人合法权益，提高采购效益，保证项目质量。</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（2）评标应遵循公平、公正、科学、严谨和择优原则。</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（3）评标的依据是招标文件和投标文件。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（4）应按照招标文件规定推荐中标候选人或确定中标人。</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（5）评标应遵守下列评标纪律：</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①评标情况不得私自外泄，有关信息由</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统一对外发布。</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②对</w:t>
      </w:r>
      <w:r>
        <w:rPr>
          <w:rFonts w:hint="eastAsia" w:ascii="宋体" w:hAnsi="宋体" w:eastAsia="宋体" w:cs="宋体"/>
          <w:color w:val="auto"/>
          <w:spacing w:val="0"/>
          <w:sz w:val="24"/>
          <w:szCs w:val="24"/>
          <w:u w:val="single"/>
        </w:rPr>
        <w:t>福建中实招标有限公司</w:t>
      </w:r>
      <w:r>
        <w:rPr>
          <w:rFonts w:hint="eastAsia" w:ascii="宋体" w:hAnsi="宋体" w:eastAsia="宋体" w:cs="宋体"/>
          <w:color w:val="auto"/>
          <w:spacing w:val="0"/>
          <w:sz w:val="24"/>
          <w:szCs w:val="24"/>
        </w:rPr>
        <w:t>或投标人提供的要求保密的资料，不得摘记翻印和外传。</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③不得收受投标人或有关人员的任何礼物，不得串联鼓动其他人袒护某投标人。若与投标人存在利害关系，则应主动声明并回避。</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④全体评委应按照招标文件规定进行评标，一切认定事项应查有实据且不得弄虚作假。</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⑤评标中应充分发扬民主，推荐中标候选人或确定中标人后要服从评标报告。</w:t>
      </w:r>
    </w:p>
    <w:p>
      <w:pPr>
        <w:pStyle w:val="6"/>
        <w:keepNext w:val="0"/>
        <w:keepLines w:val="0"/>
        <w:widowControl/>
        <w:suppressLineNumbers w:val="0"/>
        <w:spacing w:before="75" w:beforeAutospacing="0" w:after="75" w:afterAutospacing="0"/>
        <w:ind w:left="0" w:right="0" w:firstLine="480"/>
        <w:rPr>
          <w:color w:val="auto"/>
        </w:rPr>
      </w:pPr>
      <w:r>
        <w:rPr>
          <w:rStyle w:val="9"/>
          <w:rFonts w:hint="eastAsia" w:ascii="宋体" w:hAnsi="宋体" w:eastAsia="宋体" w:cs="宋体"/>
          <w:b/>
          <w:color w:val="auto"/>
          <w:spacing w:val="0"/>
          <w:sz w:val="24"/>
          <w:szCs w:val="24"/>
        </w:rPr>
        <w:t>※对违反评标纪律的评委，将取消其评委资格，对评标工作造成严重损失者将予以通报批评乃至追究法律责任。</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6、评标程序</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6.1评标前的准备工作</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（1）全体评委应认真审阅招标文件，了解评委应履行或遵守的职责、义务和评标纪律。</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6.2符合性审查</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（1）评标委员会依据招标文件的实质性要求，对通过资格审查的投标文件进行符合性审查，以确定其是否满足招标文件的实质性要求。</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（2）满足招标文件的实质性要求指投标文件对招标文件实质性要求的响应不存在重大偏差或保留。</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（5）评标委员会对所有投标人都执行相同的程序和标准。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（6）有下列情形之一的，</w:t>
      </w:r>
      <w:r>
        <w:rPr>
          <w:rStyle w:val="9"/>
          <w:rFonts w:hint="eastAsia" w:ascii="宋体" w:hAnsi="宋体" w:eastAsia="宋体" w:cs="宋体"/>
          <w:b/>
          <w:color w:val="auto"/>
          <w:spacing w:val="0"/>
          <w:sz w:val="24"/>
          <w:szCs w:val="24"/>
        </w:rPr>
        <w:t>符合性审查不合格：</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①一般情形：</w:t>
      </w:r>
    </w:p>
    <w:tbl>
      <w:tblPr>
        <w:tblStyle w:val="7"/>
        <w:tblW w:w="864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6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864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64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64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864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投标文件对招标文件实质性要求的响应存在重大偏离或保留。</w:t>
            </w:r>
          </w:p>
        </w:tc>
      </w:tr>
    </w:tbl>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②本项目规定的其他情形：</w:t>
      </w:r>
      <w:r>
        <w:rPr>
          <w:rFonts w:hint="eastAsia" w:ascii="宋体" w:hAnsi="宋体" w:eastAsia="宋体" w:cs="宋体"/>
          <w:color w:val="auto"/>
          <w:spacing w:val="0"/>
          <w:sz w:val="24"/>
          <w:szCs w:val="24"/>
        </w:rPr>
        <w:br w:type="textWrapping"/>
      </w:r>
      <w:r>
        <w:rPr>
          <w:rStyle w:val="9"/>
          <w:rFonts w:hint="eastAsia" w:ascii="宋体" w:hAnsi="宋体" w:eastAsia="宋体" w:cs="宋体"/>
          <w:b/>
          <w:color w:val="auto"/>
          <w:spacing w:val="0"/>
          <w:sz w:val="24"/>
          <w:szCs w:val="24"/>
        </w:rPr>
        <w:t>包：1</w:t>
      </w:r>
    </w:p>
    <w:tbl>
      <w:tblPr>
        <w:tblStyle w:val="7"/>
        <w:tblW w:w="864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6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PrEx>
        <w:trPr>
          <w:tblHeader/>
        </w:trPr>
        <w:tc>
          <w:tcPr>
            <w:tcW w:w="864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b/>
                <w:color w:val="auto"/>
              </w:rPr>
            </w:pPr>
            <w:r>
              <w:rPr>
                <w:rFonts w:ascii="宋体" w:hAnsi="宋体" w:eastAsia="宋体" w:cs="宋体"/>
                <w:b/>
                <w:color w:val="auto"/>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c>
          <w:tcPr>
            <w:tcW w:w="864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纸质投标文件未按招标文件规定由投标人的法定代表人或其授权代表签署、盖章的；(2)交付时间、交付地点、支付方式不满足招标文件要求的；(3)投标文件中提供虚假或失实资料的；(4)综合评分法时，投标人的技术部分实际得分少于招标文件设定的技术部分总分50%的；(5)一个投标人不止投一个标；(6)投标文件组成不符合招标文件要求的；(7)不符合招标文件中规定的其它实质性要求的条款。</w:t>
            </w:r>
          </w:p>
        </w:tc>
      </w:tr>
    </w:tbl>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6.3澄清有关问题</w:t>
      </w:r>
    </w:p>
    <w:p>
      <w:pPr>
        <w:pStyle w:val="6"/>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pacing w:val="0"/>
          <w:sz w:val="24"/>
          <w:szCs w:val="24"/>
        </w:rPr>
        <w:t>（1）对通过符合性审查的投标文件中含义不明确、同类问题表述不一致或有明显文字和计算错误的内容，评标委员会将以书面形式要求投标人作出必要的澄清、说明或补正。</w:t>
      </w:r>
    </w:p>
    <w:p>
      <w:pPr>
        <w:pStyle w:val="6"/>
        <w:keepNext w:val="0"/>
        <w:keepLines w:val="0"/>
        <w:widowControl/>
        <w:suppressLineNumbers w:val="0"/>
        <w:spacing w:before="75" w:beforeAutospacing="0" w:after="75" w:afterAutospacing="0"/>
        <w:ind w:left="0" w:right="0" w:firstLine="420"/>
        <w:rPr>
          <w:color w:val="auto"/>
        </w:rPr>
      </w:pPr>
      <w:r>
        <w:rPr>
          <w:rFonts w:hint="eastAsia" w:ascii="宋体" w:hAnsi="宋体" w:eastAsia="宋体" w:cs="宋体"/>
          <w:color w:val="auto"/>
          <w:spacing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（3）投标文件报价出现前后不一致的，除招标文件另有规定外，按照下列规定修正：</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①开标一览表内容与投标文件中相应内容不一致的，以开标一览表为准；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②大写金额和小写金额不一致的，以大写金额为准；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③单价金额小数点或百分比有明显错位的，以开标一览表的总价为准，并修改单价；</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④总价金额与按照单价汇总金额不一致的，以单价金额计算结果为准。</w:t>
      </w:r>
    </w:p>
    <w:p>
      <w:pPr>
        <w:pStyle w:val="6"/>
        <w:keepNext w:val="0"/>
        <w:keepLines w:val="0"/>
        <w:widowControl/>
        <w:suppressLineNumbers w:val="0"/>
        <w:spacing w:before="75" w:beforeAutospacing="0" w:after="75" w:afterAutospacing="0"/>
        <w:ind w:left="0" w:right="0" w:firstLine="480"/>
        <w:rPr>
          <w:color w:val="auto"/>
        </w:rPr>
      </w:pPr>
      <w:r>
        <w:rPr>
          <w:rStyle w:val="9"/>
          <w:rFonts w:hint="eastAsia" w:ascii="宋体" w:hAnsi="宋体" w:eastAsia="宋体" w:cs="宋体"/>
          <w:b/>
          <w:color w:val="auto"/>
          <w:spacing w:val="0"/>
          <w:sz w:val="24"/>
          <w:szCs w:val="24"/>
        </w:rPr>
        <w:t>※同时出现两种以上不一致的，按照前款规定的顺序修正。修正后的报价应按照本章第</w:t>
      </w:r>
      <w:r>
        <w:rPr>
          <w:rStyle w:val="9"/>
          <w:rFonts w:hint="default" w:ascii="Calibri" w:hAnsi="Calibri" w:cs="Calibri"/>
          <w:b/>
          <w:color w:val="auto"/>
          <w:spacing w:val="0"/>
          <w:sz w:val="24"/>
          <w:szCs w:val="24"/>
        </w:rPr>
        <w:t>6.3</w:t>
      </w:r>
      <w:r>
        <w:rPr>
          <w:rStyle w:val="9"/>
          <w:rFonts w:hint="eastAsia" w:ascii="宋体" w:hAnsi="宋体" w:eastAsia="宋体" w:cs="宋体"/>
          <w:b/>
          <w:color w:val="auto"/>
          <w:spacing w:val="0"/>
          <w:sz w:val="24"/>
          <w:szCs w:val="24"/>
        </w:rPr>
        <w:t>条第（</w:t>
      </w:r>
      <w:r>
        <w:rPr>
          <w:rStyle w:val="9"/>
          <w:rFonts w:hint="default" w:ascii="Calibri" w:hAnsi="Calibri" w:cs="Calibri"/>
          <w:b/>
          <w:color w:val="auto"/>
          <w:spacing w:val="0"/>
          <w:sz w:val="24"/>
          <w:szCs w:val="24"/>
        </w:rPr>
        <w:t>1</w:t>
      </w:r>
      <w:r>
        <w:rPr>
          <w:rStyle w:val="9"/>
          <w:rFonts w:hint="eastAsia" w:ascii="宋体" w:hAnsi="宋体" w:eastAsia="宋体" w:cs="宋体"/>
          <w:b/>
          <w:color w:val="auto"/>
          <w:spacing w:val="0"/>
          <w:sz w:val="24"/>
          <w:szCs w:val="24"/>
        </w:rPr>
        <w:t>）、（</w:t>
      </w:r>
      <w:r>
        <w:rPr>
          <w:rStyle w:val="9"/>
          <w:rFonts w:hint="default" w:ascii="Calibri" w:hAnsi="Calibri" w:cs="Calibri"/>
          <w:b/>
          <w:color w:val="auto"/>
          <w:spacing w:val="0"/>
          <w:sz w:val="24"/>
          <w:szCs w:val="24"/>
        </w:rPr>
        <w:t>2</w:t>
      </w:r>
      <w:r>
        <w:rPr>
          <w:rStyle w:val="9"/>
          <w:rFonts w:hint="eastAsia" w:ascii="宋体" w:hAnsi="宋体" w:eastAsia="宋体" w:cs="宋体"/>
          <w:b/>
          <w:color w:val="auto"/>
          <w:spacing w:val="0"/>
          <w:sz w:val="24"/>
          <w:szCs w:val="24"/>
        </w:rPr>
        <w:t>）款规定经投标人确认后产生约束力，投标人不确认的，其投标无效。</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（4）关于细微偏差</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②评标委员会将以书面形式要求存在细微偏差的投标人在评标委员会规定的时间内予以补正。若无法补正，则评标委员会将按照不利于投标人的内容进行认定。</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（5）关于投标描述（即投标文件中描述的内容）</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①投标描述前后不一致且不涉及证明材料的：按照本章第</w:t>
      </w:r>
      <w:r>
        <w:rPr>
          <w:rFonts w:hint="default" w:ascii="Calibri" w:hAnsi="Calibri" w:cs="Calibri"/>
          <w:color w:val="auto"/>
          <w:spacing w:val="0"/>
          <w:sz w:val="24"/>
          <w:szCs w:val="24"/>
        </w:rPr>
        <w:t>6.3</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1</w:t>
      </w:r>
      <w:r>
        <w:rPr>
          <w:rFonts w:hint="eastAsia" w:ascii="宋体" w:hAnsi="宋体" w:eastAsia="宋体" w:cs="宋体"/>
          <w:color w:val="auto"/>
          <w:spacing w:val="0"/>
          <w:sz w:val="24"/>
          <w:szCs w:val="24"/>
        </w:rPr>
        <w:t>）、（</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）款规定执行。</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②投标描述与证明材料不一致或多份证明材料之间不一致的：</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a.评标委员会将要求投标人进行书面澄清，并按照不利于投标人的内容进行评标。</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6.4比较与评价</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（1）按照本章第</w:t>
      </w:r>
      <w:r>
        <w:rPr>
          <w:rFonts w:hint="default" w:ascii="Calibri" w:hAnsi="Calibri" w:cs="Calibri"/>
          <w:color w:val="auto"/>
          <w:spacing w:val="0"/>
          <w:sz w:val="24"/>
          <w:szCs w:val="24"/>
        </w:rPr>
        <w:t>7</w:t>
      </w:r>
      <w:r>
        <w:rPr>
          <w:rFonts w:hint="eastAsia" w:ascii="宋体" w:hAnsi="宋体" w:eastAsia="宋体" w:cs="宋体"/>
          <w:color w:val="auto"/>
          <w:spacing w:val="0"/>
          <w:sz w:val="24"/>
          <w:szCs w:val="24"/>
        </w:rPr>
        <w:t>条载明的评标方法和标准，对符合性审查合格的投标文件进行比较与评价。</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（2）关于相同品牌产品</w:t>
      </w:r>
      <w:r>
        <w:rPr>
          <w:rStyle w:val="9"/>
          <w:rFonts w:hint="eastAsia" w:ascii="宋体" w:hAnsi="宋体" w:eastAsia="宋体" w:cs="宋体"/>
          <w:b/>
          <w:color w:val="auto"/>
          <w:spacing w:val="0"/>
          <w:sz w:val="24"/>
          <w:szCs w:val="24"/>
        </w:rPr>
        <w:t>（政府采购服务类项目不适用本条款规定）</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a.招标文件规定的方式：</w:t>
      </w:r>
      <w:r>
        <w:rPr>
          <w:color w:val="auto"/>
          <w:spacing w:val="0"/>
          <w:sz w:val="24"/>
          <w:szCs w:val="24"/>
          <w:u w:val="single"/>
        </w:rPr>
        <w:t>无。</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b.招标文件未规定的，采取随机抽取方式确定，其他</w:t>
      </w:r>
      <w:r>
        <w:rPr>
          <w:rStyle w:val="9"/>
          <w:rFonts w:hint="eastAsia" w:ascii="宋体" w:hAnsi="宋体" w:eastAsia="宋体" w:cs="宋体"/>
          <w:b/>
          <w:color w:val="auto"/>
          <w:spacing w:val="0"/>
          <w:sz w:val="24"/>
          <w:szCs w:val="24"/>
        </w:rPr>
        <w:t>投标无效。</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a.招标文件规定的方式：</w:t>
      </w:r>
      <w:r>
        <w:rPr>
          <w:color w:val="auto"/>
          <w:spacing w:val="0"/>
          <w:sz w:val="24"/>
          <w:szCs w:val="24"/>
          <w:u w:val="single"/>
        </w:rPr>
        <w:t>无。</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b.招标文件未规定的，采取随机抽取方式确定，其他同品牌投标人不作为中标候选人。</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③非单一产品采购项目，多家投标人提供的核心产品品牌相同的，按照本章第</w:t>
      </w:r>
      <w:r>
        <w:rPr>
          <w:rFonts w:hint="default" w:ascii="Calibri" w:hAnsi="Calibri" w:cs="Calibri"/>
          <w:color w:val="auto"/>
          <w:spacing w:val="0"/>
          <w:sz w:val="24"/>
          <w:szCs w:val="24"/>
        </w:rPr>
        <w:t>6.4</w:t>
      </w:r>
      <w:r>
        <w:rPr>
          <w:rFonts w:hint="eastAsia" w:ascii="宋体" w:hAnsi="宋体" w:eastAsia="宋体" w:cs="宋体"/>
          <w:color w:val="auto"/>
          <w:spacing w:val="0"/>
          <w:sz w:val="24"/>
          <w:szCs w:val="24"/>
        </w:rPr>
        <w:t>条第（</w:t>
      </w:r>
      <w:r>
        <w:rPr>
          <w:rFonts w:hint="default" w:ascii="Calibri" w:hAnsi="Calibri" w:cs="Calibri"/>
          <w:color w:val="auto"/>
          <w:spacing w:val="0"/>
          <w:sz w:val="24"/>
          <w:szCs w:val="24"/>
        </w:rPr>
        <w:t>2</w:t>
      </w:r>
      <w:r>
        <w:rPr>
          <w:rFonts w:hint="eastAsia" w:ascii="宋体" w:hAnsi="宋体" w:eastAsia="宋体" w:cs="宋体"/>
          <w:color w:val="auto"/>
          <w:spacing w:val="0"/>
          <w:sz w:val="24"/>
          <w:szCs w:val="24"/>
        </w:rPr>
        <w:t>）款第①、②规定处理。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（3）漏（缺）项</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①招标文件中要求列入报价的费用（含配置、功能），漏（缺）项的报价视为已经包括在投标总价中。</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②对多报项及赠送项的价格评标时不予核减，全部进入评标价评议。</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6.5推荐中标候选人：详见本章第</w:t>
      </w:r>
      <w:r>
        <w:rPr>
          <w:rFonts w:hint="default" w:ascii="Calibri" w:hAnsi="Calibri" w:cs="Calibri"/>
          <w:color w:val="auto"/>
          <w:spacing w:val="0"/>
          <w:sz w:val="24"/>
          <w:szCs w:val="24"/>
        </w:rPr>
        <w:t>7.2</w:t>
      </w:r>
      <w:r>
        <w:rPr>
          <w:rFonts w:hint="eastAsia" w:ascii="宋体" w:hAnsi="宋体" w:eastAsia="宋体" w:cs="宋体"/>
          <w:color w:val="auto"/>
          <w:spacing w:val="0"/>
          <w:sz w:val="24"/>
          <w:szCs w:val="24"/>
        </w:rPr>
        <w:t>条规定。</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6.6编写评标报告</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（1）评标报告由评标委员会负责编写。</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（2）评标报告应包括下列内容：</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①招标公告刊登的媒体名称、开标日期和地点；</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②投标人名单和评标委员会成员名单；</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③评标方法和标准；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④开标记录和评标情况及说明，包括无效投标人名单及原因；</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⑤评标结果，包括中标候选人名单或确定的中标人；</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⑥其他需要说明的情况，包括但不限于：评标过程中投标人的澄清、说明或补正，评委更换等。</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9"/>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处理。</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6.8评委对需要共同认定的事项存在争议的，应按照少数服从多数的原则进行认定。</w:t>
      </w:r>
      <w:r>
        <w:rPr>
          <w:rStyle w:val="9"/>
          <w:rFonts w:hint="eastAsia" w:ascii="宋体" w:hAnsi="宋体" w:eastAsia="宋体" w:cs="宋体"/>
          <w:b/>
          <w:color w:val="auto"/>
          <w:spacing w:val="0"/>
          <w:sz w:val="24"/>
          <w:szCs w:val="24"/>
        </w:rPr>
        <w:t>持不同意见的评委应在评标报告上签署不同意见及理由，否则视为同意评标报告。</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6.9在评标过程中发现投标人有下列情形之一的，评标委员会应认定其</w:t>
      </w:r>
      <w:r>
        <w:rPr>
          <w:rStyle w:val="9"/>
          <w:rFonts w:hint="eastAsia" w:ascii="宋体" w:hAnsi="宋体" w:eastAsia="宋体" w:cs="宋体"/>
          <w:b/>
          <w:color w:val="auto"/>
          <w:spacing w:val="0"/>
          <w:sz w:val="24"/>
          <w:szCs w:val="24"/>
        </w:rPr>
        <w:t>投标无效</w:t>
      </w:r>
      <w:r>
        <w:rPr>
          <w:rFonts w:hint="eastAsia" w:ascii="宋体" w:hAnsi="宋体" w:eastAsia="宋体" w:cs="宋体"/>
          <w:color w:val="auto"/>
          <w:spacing w:val="0"/>
          <w:sz w:val="24"/>
          <w:szCs w:val="24"/>
        </w:rPr>
        <w:t>，并书面报告本项目监督管理部门：</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（1）恶意串通（包括但不限于招标文件第三章第</w:t>
      </w:r>
      <w:r>
        <w:rPr>
          <w:rFonts w:hint="default" w:ascii="Calibri" w:hAnsi="Calibri" w:cs="Calibri"/>
          <w:color w:val="auto"/>
          <w:spacing w:val="0"/>
          <w:sz w:val="24"/>
          <w:szCs w:val="24"/>
        </w:rPr>
        <w:t>9.7</w:t>
      </w:r>
      <w:r>
        <w:rPr>
          <w:rFonts w:hint="eastAsia" w:ascii="宋体" w:hAnsi="宋体" w:eastAsia="宋体" w:cs="宋体"/>
          <w:color w:val="auto"/>
          <w:spacing w:val="0"/>
          <w:sz w:val="24"/>
          <w:szCs w:val="24"/>
        </w:rPr>
        <w:t>条规定情形）；</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（2）妨碍其他投标人的竞争行为；</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（3）损害采购人或其他投标人的合法权益。</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6.10评标过程中，有下列情形之一的，应予废标：</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（1）符合性审查合格的投标人不足三家的；</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（2）有关法律、法规和规章规定废标的情形。</w:t>
      </w:r>
    </w:p>
    <w:p>
      <w:pPr>
        <w:pStyle w:val="6"/>
        <w:keepNext w:val="0"/>
        <w:keepLines w:val="0"/>
        <w:widowControl/>
        <w:suppressLineNumbers w:val="0"/>
        <w:spacing w:before="75" w:beforeAutospacing="0" w:after="75" w:afterAutospacing="0"/>
        <w:ind w:left="0" w:right="0" w:firstLine="480"/>
        <w:rPr>
          <w:color w:val="auto"/>
        </w:rPr>
      </w:pPr>
      <w:r>
        <w:rPr>
          <w:rStyle w:val="9"/>
          <w:rFonts w:hint="eastAsia" w:ascii="宋体" w:hAnsi="宋体" w:eastAsia="宋体" w:cs="宋体"/>
          <w:b/>
          <w:color w:val="auto"/>
          <w:spacing w:val="0"/>
          <w:sz w:val="24"/>
          <w:szCs w:val="24"/>
        </w:rPr>
        <w:t>※若废标，则本次采购活动结束，</w:t>
      </w:r>
      <w:r>
        <w:rPr>
          <w:rFonts w:hint="eastAsia" w:ascii="宋体" w:hAnsi="宋体" w:eastAsia="宋体" w:cs="宋体"/>
          <w:color w:val="auto"/>
          <w:spacing w:val="0"/>
          <w:sz w:val="24"/>
          <w:szCs w:val="24"/>
          <w:u w:val="single"/>
        </w:rPr>
        <w:t>福建中实招标有限公司</w:t>
      </w:r>
      <w:r>
        <w:rPr>
          <w:rStyle w:val="9"/>
          <w:rFonts w:hint="eastAsia" w:ascii="宋体" w:hAnsi="宋体" w:eastAsia="宋体" w:cs="宋体"/>
          <w:b/>
          <w:color w:val="auto"/>
          <w:spacing w:val="0"/>
          <w:sz w:val="24"/>
          <w:szCs w:val="24"/>
        </w:rPr>
        <w:t>将依法组织后续采购活动（包括但不限于：重新招标、采用其他方式采购等）。</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7、评标方法和标准</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7.1评标方法：</w:t>
      </w:r>
      <w:r>
        <w:rPr>
          <w:color w:val="auto"/>
          <w:spacing w:val="0"/>
          <w:sz w:val="24"/>
          <w:szCs w:val="24"/>
        </w:rPr>
        <w:t> 合同包1采用综合评分法。</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7.2评标标准</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hd w:val="clear" w:fill="FFFFFF"/>
        <w:spacing w:before="0" w:beforeAutospacing="0" w:after="150" w:afterAutospacing="0"/>
        <w:ind w:left="0" w:right="0"/>
        <w:rPr>
          <w:rFonts w:hint="eastAsia" w:ascii="微软雅黑" w:hAnsi="微软雅黑" w:eastAsia="微软雅黑" w:cs="微软雅黑"/>
          <w:color w:val="auto"/>
          <w:sz w:val="19"/>
          <w:szCs w:val="19"/>
        </w:rPr>
      </w:pPr>
      <w:r>
        <w:rPr>
          <w:rStyle w:val="9"/>
          <w:rFonts w:hint="eastAsia" w:ascii="宋体" w:hAnsi="宋体" w:eastAsia="宋体" w:cs="宋体"/>
          <w:b/>
          <w:color w:val="auto"/>
          <w:sz w:val="24"/>
          <w:szCs w:val="24"/>
          <w:shd w:val="clear" w:fill="FFFFFF"/>
        </w:rPr>
        <w:t>合同包1采用综合评分法</w:t>
      </w:r>
      <w:r>
        <w:rPr>
          <w:rFonts w:hint="eastAsia" w:ascii="宋体" w:hAnsi="宋体" w:eastAsia="宋体" w:cs="宋体"/>
          <w:color w:val="auto"/>
          <w:sz w:val="24"/>
          <w:szCs w:val="24"/>
          <w:shd w:val="clear" w:fill="FFFFFF"/>
        </w:rPr>
        <w:t>：</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（1）投标文件满足招标文件全部实质性要求，且按照评审因素的量化指标评审得分（即评标总得分）最高的投标人为中标候选人。</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（2）每个投标人的评标总得分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w:t>
      </w:r>
      <w:r>
        <w:rPr>
          <w:rFonts w:hint="eastAsia" w:ascii="宋体" w:hAnsi="宋体" w:eastAsia="宋体" w:cs="宋体"/>
          <w:color w:val="auto"/>
          <w:sz w:val="24"/>
          <w:szCs w:val="24"/>
        </w:rPr>
        <w:t>＋</w:t>
      </w:r>
      <w:r>
        <w:rPr>
          <w:rFonts w:hint="default" w:ascii="Calibri" w:hAnsi="Calibri" w:eastAsia="宋体" w:cs="Calibri"/>
          <w:color w:val="auto"/>
          <w:sz w:val="24"/>
          <w:szCs w:val="24"/>
        </w:rPr>
        <w:t>F4</w:t>
      </w:r>
      <w:r>
        <w:rPr>
          <w:rFonts w:hint="eastAsia" w:ascii="宋体" w:hAnsi="宋体" w:eastAsia="宋体" w:cs="宋体"/>
          <w:color w:val="auto"/>
          <w:sz w:val="24"/>
          <w:szCs w:val="24"/>
        </w:rPr>
        <w:t>×</w:t>
      </w:r>
      <w:r>
        <w:rPr>
          <w:rFonts w:hint="default" w:ascii="Calibri" w:hAnsi="Calibri" w:eastAsia="宋体" w:cs="Calibri"/>
          <w:color w:val="auto"/>
          <w:sz w:val="24"/>
          <w:szCs w:val="24"/>
        </w:rPr>
        <w:t>A4</w:t>
      </w:r>
      <w:r>
        <w:rPr>
          <w:rFonts w:hint="eastAsia" w:ascii="宋体" w:hAnsi="宋体" w:eastAsia="宋体" w:cs="宋体"/>
          <w:color w:val="auto"/>
          <w:sz w:val="24"/>
          <w:szCs w:val="24"/>
        </w:rPr>
        <w:t>（若有），其中：</w:t>
      </w:r>
      <w:r>
        <w:rPr>
          <w:rFonts w:hint="default" w:ascii="Calibri" w:hAnsi="Calibri" w:eastAsia="宋体" w:cs="Calibri"/>
          <w:color w:val="auto"/>
          <w:sz w:val="24"/>
          <w:szCs w:val="24"/>
        </w:rPr>
        <w:t>F1</w:t>
      </w:r>
      <w:r>
        <w:rPr>
          <w:rFonts w:hint="eastAsia" w:ascii="宋体" w:hAnsi="宋体" w:eastAsia="宋体" w:cs="宋体"/>
          <w:color w:val="auto"/>
          <w:sz w:val="24"/>
          <w:szCs w:val="24"/>
        </w:rPr>
        <w:t>指价格项评审因素得分、</w:t>
      </w:r>
      <w:r>
        <w:rPr>
          <w:rFonts w:hint="default" w:ascii="Calibri" w:hAnsi="Calibri" w:eastAsia="宋体" w:cs="Calibri"/>
          <w:color w:val="auto"/>
          <w:sz w:val="24"/>
          <w:szCs w:val="24"/>
        </w:rPr>
        <w:t>F2</w:t>
      </w:r>
      <w:r>
        <w:rPr>
          <w:rFonts w:hint="eastAsia" w:ascii="宋体" w:hAnsi="宋体" w:eastAsia="宋体" w:cs="宋体"/>
          <w:color w:val="auto"/>
          <w:sz w:val="24"/>
          <w:szCs w:val="24"/>
        </w:rPr>
        <w:t>指技术项评审因素得分、</w:t>
      </w:r>
      <w:r>
        <w:rPr>
          <w:rFonts w:hint="default" w:ascii="Calibri" w:hAnsi="Calibri" w:eastAsia="宋体" w:cs="Calibri"/>
          <w:color w:val="auto"/>
          <w:sz w:val="24"/>
          <w:szCs w:val="24"/>
        </w:rPr>
        <w:t>F3</w:t>
      </w:r>
      <w:r>
        <w:rPr>
          <w:rFonts w:hint="eastAsia" w:ascii="宋体" w:hAnsi="宋体" w:eastAsia="宋体" w:cs="宋体"/>
          <w:color w:val="auto"/>
          <w:sz w:val="24"/>
          <w:szCs w:val="24"/>
        </w:rPr>
        <w:t>指商务项评审因素得分，</w:t>
      </w:r>
      <w:r>
        <w:rPr>
          <w:rFonts w:hint="default" w:ascii="Calibri" w:hAnsi="Calibri" w:eastAsia="宋体" w:cs="Calibri"/>
          <w:color w:val="auto"/>
          <w:sz w:val="24"/>
          <w:szCs w:val="24"/>
        </w:rPr>
        <w:t>A1</w:t>
      </w:r>
      <w:r>
        <w:rPr>
          <w:rFonts w:hint="eastAsia" w:ascii="宋体" w:hAnsi="宋体" w:eastAsia="宋体" w:cs="宋体"/>
          <w:color w:val="auto"/>
          <w:sz w:val="24"/>
          <w:szCs w:val="24"/>
        </w:rPr>
        <w:t>指价格项评审因素所占的权重、</w:t>
      </w:r>
      <w:r>
        <w:rPr>
          <w:rFonts w:hint="default" w:ascii="Calibri" w:hAnsi="Calibri" w:eastAsia="宋体" w:cs="Calibri"/>
          <w:color w:val="auto"/>
          <w:sz w:val="24"/>
          <w:szCs w:val="24"/>
        </w:rPr>
        <w:t>A2</w:t>
      </w:r>
      <w:r>
        <w:rPr>
          <w:rFonts w:hint="eastAsia" w:ascii="宋体" w:hAnsi="宋体" w:eastAsia="宋体" w:cs="宋体"/>
          <w:color w:val="auto"/>
          <w:sz w:val="24"/>
          <w:szCs w:val="24"/>
        </w:rPr>
        <w:t>指技术项评审因素所占的权重、</w:t>
      </w:r>
      <w:r>
        <w:rPr>
          <w:rFonts w:hint="default" w:ascii="Calibri" w:hAnsi="Calibri" w:eastAsia="宋体" w:cs="Calibri"/>
          <w:color w:val="auto"/>
          <w:sz w:val="24"/>
          <w:szCs w:val="24"/>
        </w:rPr>
        <w:t>A3</w:t>
      </w:r>
      <w:r>
        <w:rPr>
          <w:rFonts w:hint="eastAsia" w:ascii="宋体" w:hAnsi="宋体" w:eastAsia="宋体" w:cs="宋体"/>
          <w:color w:val="auto"/>
          <w:sz w:val="24"/>
          <w:szCs w:val="24"/>
        </w:rPr>
        <w:t>指商务项评审因素所占的权重，</w:t>
      </w:r>
      <w:r>
        <w:rPr>
          <w:rFonts w:hint="default" w:ascii="Calibri" w:hAnsi="Calibri" w:eastAsia="宋体" w:cs="Calibri"/>
          <w:color w:val="auto"/>
          <w:sz w:val="24"/>
          <w:szCs w:val="24"/>
        </w:rPr>
        <w:t>A1+A2+A3=1</w:t>
      </w:r>
      <w:r>
        <w:rPr>
          <w:rFonts w:hint="eastAsia" w:ascii="宋体" w:hAnsi="宋体" w:eastAsia="宋体" w:cs="宋体"/>
          <w:color w:val="auto"/>
          <w:sz w:val="24"/>
          <w:szCs w:val="24"/>
        </w:rPr>
        <w:t>、</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A3=100</w:t>
      </w:r>
      <w:r>
        <w:rPr>
          <w:rFonts w:hint="eastAsia" w:ascii="宋体" w:hAnsi="宋体" w:eastAsia="宋体" w:cs="宋体"/>
          <w:color w:val="auto"/>
          <w:sz w:val="24"/>
          <w:szCs w:val="24"/>
        </w:rPr>
        <w:t>分（满分时），</w:t>
      </w:r>
      <w:r>
        <w:rPr>
          <w:rFonts w:hint="default" w:ascii="Calibri" w:hAnsi="Calibri" w:eastAsia="宋体" w:cs="Calibri"/>
          <w:color w:val="auto"/>
          <w:sz w:val="24"/>
          <w:szCs w:val="24"/>
        </w:rPr>
        <w:t>F4</w:t>
      </w:r>
      <w:r>
        <w:rPr>
          <w:rFonts w:hint="eastAsia" w:ascii="宋体" w:hAnsi="宋体" w:eastAsia="宋体" w:cs="宋体"/>
          <w:color w:val="auto"/>
          <w:sz w:val="24"/>
          <w:szCs w:val="24"/>
        </w:rPr>
        <w:t>×</w:t>
      </w:r>
      <w:r>
        <w:rPr>
          <w:rFonts w:hint="default" w:ascii="Calibri" w:hAnsi="Calibri" w:eastAsia="宋体" w:cs="Calibri"/>
          <w:color w:val="auto"/>
          <w:sz w:val="24"/>
          <w:szCs w:val="24"/>
        </w:rPr>
        <w:t>A4</w:t>
      </w:r>
      <w:r>
        <w:rPr>
          <w:rFonts w:hint="eastAsia" w:ascii="宋体" w:hAnsi="宋体" w:eastAsia="宋体" w:cs="宋体"/>
          <w:color w:val="auto"/>
          <w:sz w:val="24"/>
          <w:szCs w:val="24"/>
        </w:rPr>
        <w:t>为加分项（即优先类节能产品、环境标志产品在采购活动中可享有的加分优惠）。</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（3）各项评审因素的设置如下：</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①价格项（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30</w:t>
      </w:r>
      <w:r>
        <w:rPr>
          <w:rFonts w:hint="eastAsia" w:ascii="宋体" w:hAnsi="宋体" w:eastAsia="宋体" w:cs="宋体"/>
          <w:color w:val="auto"/>
          <w:sz w:val="24"/>
          <w:szCs w:val="24"/>
        </w:rPr>
        <w:t>分。</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color w:val="auto"/>
          <w:sz w:val="24"/>
          <w:szCs w:val="24"/>
        </w:rPr>
        <w:t>=</w:t>
      </w:r>
      <w:r>
        <w:rPr>
          <w:rFonts w:hint="eastAsia" w:ascii="宋体" w:hAnsi="宋体" w:eastAsia="宋体" w:cs="宋体"/>
          <w:color w:val="auto"/>
          <w:sz w:val="24"/>
          <w:szCs w:val="24"/>
        </w:rPr>
        <w:t>（评标基准价／投标报价）×</w:t>
      </w:r>
      <w:r>
        <w:rPr>
          <w:rFonts w:hint="default" w:ascii="Calibri" w:hAnsi="Calibri" w:eastAsia="宋体" w:cs="Calibri"/>
          <w:color w:val="auto"/>
          <w:sz w:val="24"/>
          <w:szCs w:val="24"/>
        </w:rPr>
        <w:t>100</w:t>
      </w:r>
      <w:r>
        <w:rPr>
          <w:rFonts w:hint="eastAsia" w:ascii="宋体" w:hAnsi="宋体" w:eastAsia="宋体" w:cs="宋体"/>
          <w:color w:val="auto"/>
          <w:sz w:val="24"/>
          <w:szCs w:val="24"/>
        </w:rPr>
        <w:t>。因落实政府采购政策需进行价格扣除的，以扣除后的价格计算评标基准价和投标报价。</w:t>
      </w:r>
    </w:p>
    <w:p>
      <w:pPr>
        <w:pStyle w:val="6"/>
        <w:keepNext w:val="0"/>
        <w:keepLines w:val="0"/>
        <w:widowControl/>
        <w:suppressLineNumbers w:val="0"/>
        <w:spacing w:before="0" w:beforeAutospacing="0" w:after="150" w:afterAutospacing="0"/>
        <w:ind w:left="0" w:right="0" w:firstLine="480"/>
        <w:rPr>
          <w:color w:val="auto"/>
        </w:rPr>
      </w:pPr>
      <w:r>
        <w:rPr>
          <w:rFonts w:hint="default" w:ascii="Calibri" w:hAnsi="Calibri" w:cs="Calibri"/>
          <w:color w:val="auto"/>
          <w:sz w:val="24"/>
          <w:szCs w:val="24"/>
        </w:rPr>
        <w:t>b.</w:t>
      </w:r>
      <w:r>
        <w:rPr>
          <w:rFonts w:hint="eastAsia" w:ascii="宋体" w:hAnsi="宋体" w:eastAsia="宋体" w:cs="宋体"/>
          <w:color w:val="auto"/>
          <w:sz w:val="24"/>
          <w:szCs w:val="24"/>
        </w:rPr>
        <w:t>价格扣除的规则如下：</w:t>
      </w:r>
    </w:p>
    <w:tbl>
      <w:tblPr>
        <w:tblStyle w:val="7"/>
        <w:tblW w:w="864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528"/>
        <w:gridCol w:w="611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PrEx>
        <w:trPr>
          <w:tblHeader/>
        </w:trPr>
        <w:tc>
          <w:tcPr>
            <w:tcW w:w="252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611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252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小型、微型企业，监狱企业，残疾人</w:t>
            </w:r>
          </w:p>
        </w:tc>
        <w:tc>
          <w:tcPr>
            <w:tcW w:w="611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Style w:val="9"/>
                <w:rFonts w:ascii="宋体" w:hAnsi="宋体" w:eastAsia="宋体" w:cs="宋体"/>
                <w:b/>
                <w:color w:val="auto"/>
                <w:kern w:val="0"/>
                <w:sz w:val="24"/>
                <w:szCs w:val="24"/>
                <w:lang w:val="en-US" w:eastAsia="zh-CN" w:bidi="ar"/>
              </w:rPr>
              <w:t>①根据《政府采购促进中小企业发展暂行办法》（财库[2011]181号）规定，对小型和微型企业产品（限货物）的价格给予6%的扣除，用扣除后的价格参与评审。投标时应提交本办法规定的《中小企业声明函》(见第七章投标文件格式)以及由企业所在地的县级以上中小企业主管部门出具的证明函，否则不予价格扣除。并提供符合财库[2011]181号文件和工信部联企业[2011]300号文件规定的相关证明材料，否则不予认定。若《中小企业声明函》所声明的内容不实的，则按提供不真实材料处理，其投标保证金不予退回。②对监狱企业产品（限货物）的价格给予（6%）的扣除，应当提供由省级以上监狱管理局、戒毒管理局（含新疆生产建设兵团）出具的属于监狱企业的证明文件，否则评审时不予价格扣除优惠。③根据《财政部 民政部中国残疾人联合会关于促进残疾人就业政府采购政策的通知》（财库〔2017〕141号）规定，在政府采购活动中，残疾人福利性单位提供本单位制造的货物、承担的工程或服务，或提供其他残疾人福利性单位制造的货物（不包括使用非残疾人福利性单位注册商标的货物），对相应货物、工程或服务的价格给予10%的扣除。残疾人福利性单位属于小型、微型企业的，不重复享受政策。残疾人福利性单位认定标准及《残疾人福利性单位声明函》详见《财政部民政部中国残疾人联合会关于促进残疾人就业政府采购政策的通知》（财库〔2017〕141号）。</w:t>
            </w:r>
          </w:p>
        </w:tc>
      </w:tr>
    </w:tbl>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②技术项（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60</w:t>
      </w:r>
      <w:r>
        <w:rPr>
          <w:rFonts w:hint="eastAsia" w:ascii="宋体" w:hAnsi="宋体" w:eastAsia="宋体" w:cs="宋体"/>
          <w:color w:val="auto"/>
          <w:sz w:val="24"/>
          <w:szCs w:val="24"/>
        </w:rPr>
        <w:t>分。</w:t>
      </w:r>
    </w:p>
    <w:tbl>
      <w:tblPr>
        <w:tblStyle w:val="7"/>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13"/>
        <w:gridCol w:w="413"/>
        <w:gridCol w:w="74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41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41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评标分值</w:t>
            </w:r>
          </w:p>
        </w:tc>
        <w:tc>
          <w:tcPr>
            <w:tcW w:w="749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1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T1</w:t>
            </w:r>
          </w:p>
        </w:tc>
        <w:tc>
          <w:tcPr>
            <w:tcW w:w="41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54</w:t>
            </w:r>
          </w:p>
        </w:tc>
        <w:tc>
          <w:tcPr>
            <w:tcW w:w="749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所投产品技术性能以及对招标文件第五章招标内容及要求的逐项响应承诺等方面情况由评委进行评议评分，投标人所投产品完全满足招标文件技术规范及要求的得54分，有负偏离情况的，评标委员会将根据该技术参数的负偏离对所投标产品的使用影响程度进行以下扣分：（1）技术参数中带有“★”的条款为重要指标，为不允许负偏离的实质性要求，一项不符合视为投标内容与招标内容及要求有重大偏离或保留的，按无效投标处理；（2）带“￠”的条款为次重要指标，一项不符合扣3分，（3）不带符号的条款为一般指标，每偏离一项扣2分，扣完为止，正偏离不加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41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T2</w:t>
            </w:r>
          </w:p>
        </w:tc>
        <w:tc>
          <w:tcPr>
            <w:tcW w:w="41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49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提供的所投产品彩页进行评议：（1）彩页资料完整且能佐证所投标产品的主要技术参数及功能得3分；（2）无彩页资料原件，但其复印件能佐证所投标产品的主要技术参数及功能得2分；（3）彩页资料或复印件仅能部分佐证所投标产品的主要技术参数及功能得1分；（4）无提供彩页资料，或提供的彩页资料与所投设备的规格型号不一致，或彩页资料及复印件不能佐证所投标产品的主要技术参数及功能为0分。 注：以上“产品彩页”指厂家对外宣传的彩页印刷品。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41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T3</w:t>
            </w:r>
          </w:p>
        </w:tc>
        <w:tc>
          <w:tcPr>
            <w:tcW w:w="41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49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根据各投标人所投产品配置的合理性、齐全性以及对招标文件要求的各项配置要求（包括主机、附件、备品备件、专用工具等）的响应情况，由评委进行在0-3分之间进行横向评议。</w:t>
            </w:r>
          </w:p>
        </w:tc>
      </w:tr>
    </w:tbl>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③商务项（</w:t>
      </w:r>
      <w:r>
        <w:rPr>
          <w:rFonts w:hint="default" w:ascii="Calibri" w:hAnsi="Calibri" w:eastAsia="宋体" w:cs="Calibri"/>
          <w:color w:val="auto"/>
          <w:sz w:val="24"/>
          <w:szCs w:val="24"/>
        </w:rPr>
        <w:t>F3</w:t>
      </w:r>
      <w:r>
        <w:rPr>
          <w:rFonts w:hint="eastAsia" w:ascii="宋体" w:hAnsi="宋体" w:eastAsia="宋体" w:cs="宋体"/>
          <w:color w:val="auto"/>
          <w:sz w:val="24"/>
          <w:szCs w:val="24"/>
        </w:rPr>
        <w:t>×</w:t>
      </w:r>
      <w:r>
        <w:rPr>
          <w:rFonts w:hint="default" w:ascii="Calibri" w:hAnsi="Calibri" w:eastAsia="宋体" w:cs="Calibri"/>
          <w:color w:val="auto"/>
          <w:sz w:val="24"/>
          <w:szCs w:val="24"/>
        </w:rPr>
        <w:t>A3</w:t>
      </w:r>
      <w:r>
        <w:rPr>
          <w:rFonts w:hint="eastAsia" w:ascii="宋体" w:hAnsi="宋体" w:eastAsia="宋体" w:cs="宋体"/>
          <w:color w:val="auto"/>
          <w:sz w:val="24"/>
          <w:szCs w:val="24"/>
        </w:rPr>
        <w:t>）满分为</w:t>
      </w:r>
      <w:r>
        <w:rPr>
          <w:rFonts w:hint="eastAsia" w:ascii="宋体" w:hAnsi="宋体" w:eastAsia="宋体" w:cs="宋体"/>
          <w:color w:val="auto"/>
          <w:sz w:val="24"/>
          <w:szCs w:val="24"/>
          <w:u w:val="single"/>
        </w:rPr>
        <w:t>10</w:t>
      </w:r>
      <w:r>
        <w:rPr>
          <w:rFonts w:hint="eastAsia" w:ascii="宋体" w:hAnsi="宋体" w:eastAsia="宋体" w:cs="宋体"/>
          <w:color w:val="auto"/>
          <w:sz w:val="24"/>
          <w:szCs w:val="24"/>
        </w:rPr>
        <w:t>分。</w:t>
      </w:r>
    </w:p>
    <w:tbl>
      <w:tblPr>
        <w:tblStyle w:val="7"/>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403"/>
        <w:gridCol w:w="403"/>
        <w:gridCol w:w="7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blHeader/>
        </w:trPr>
        <w:tc>
          <w:tcPr>
            <w:tcW w:w="40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40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评标分值</w:t>
            </w:r>
          </w:p>
        </w:tc>
        <w:tc>
          <w:tcPr>
            <w:tcW w:w="7510"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0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B1</w:t>
            </w:r>
          </w:p>
        </w:tc>
        <w:tc>
          <w:tcPr>
            <w:tcW w:w="40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7510"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根据投标人的综合实力情况在0-2分之间进行打分。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0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B2</w:t>
            </w:r>
          </w:p>
        </w:tc>
        <w:tc>
          <w:tcPr>
            <w:tcW w:w="40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w:t>
            </w:r>
          </w:p>
        </w:tc>
        <w:tc>
          <w:tcPr>
            <w:tcW w:w="7510"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根据投标人所提供的从2015年1月1日起至本次投标截止日期(日期以验收报告时间为准)在国内所完成的同类项目业绩情况进行打分，每提供一份合格的业绩项目得1 分，满分为3分。【投标人须列表并提供该业绩项目的中标公告（提供相关网站中标公告的下载网页并注明网址）、中标通知书复印件、采购合同文本复印件，以及能够证明该业绩项目已经采购人验收合格的相关证明文件复印件，所有材料缺一不可，否则不得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0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B3</w:t>
            </w:r>
          </w:p>
        </w:tc>
        <w:tc>
          <w:tcPr>
            <w:tcW w:w="40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7510"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提供详细技术培训计划，根据各投标人对采购人提供应用培训（应用培训包括安装、检验、调试、使用和维护、排除一般故障）的承诺情况，由评委在0-2分之间进行横向评议，未提供任何技术培训承诺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40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B4</w:t>
            </w:r>
          </w:p>
        </w:tc>
        <w:tc>
          <w:tcPr>
            <w:tcW w:w="40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7510"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根据各投标人的售后服务承诺、维护响应计划进行评分，包括具体的售后服务内容、故障响应时间、响应方式时间等方面，由评委在0-2分之间进行横向评议，未提供任何售后服务承诺的本项不得分。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0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B5</w:t>
            </w:r>
          </w:p>
        </w:tc>
        <w:tc>
          <w:tcPr>
            <w:tcW w:w="403"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7510"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根据各投标人所投产品质量保障以及供货保障等方面情况，由评委在0-1分之间进行横向评议。</w:t>
            </w:r>
          </w:p>
        </w:tc>
      </w:tr>
    </w:tbl>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④加分项（</w:t>
      </w:r>
      <w:r>
        <w:rPr>
          <w:rFonts w:hint="default" w:ascii="Calibri" w:hAnsi="Calibri" w:eastAsia="宋体" w:cs="Calibri"/>
          <w:color w:val="auto"/>
          <w:sz w:val="24"/>
          <w:szCs w:val="24"/>
        </w:rPr>
        <w:t>F4</w:t>
      </w:r>
      <w:r>
        <w:rPr>
          <w:rFonts w:hint="eastAsia" w:ascii="宋体" w:hAnsi="宋体" w:eastAsia="宋体" w:cs="宋体"/>
          <w:color w:val="auto"/>
          <w:sz w:val="24"/>
          <w:szCs w:val="24"/>
        </w:rPr>
        <w:t>×</w:t>
      </w:r>
      <w:r>
        <w:rPr>
          <w:rFonts w:hint="default" w:ascii="Calibri" w:hAnsi="Calibri" w:eastAsia="宋体" w:cs="Calibri"/>
          <w:color w:val="auto"/>
          <w:sz w:val="24"/>
          <w:szCs w:val="24"/>
        </w:rPr>
        <w:t>A4</w:t>
      </w:r>
      <w:r>
        <w:rPr>
          <w:rFonts w:hint="eastAsia" w:ascii="宋体" w:hAnsi="宋体" w:eastAsia="宋体" w:cs="宋体"/>
          <w:color w:val="auto"/>
          <w:sz w:val="24"/>
          <w:szCs w:val="24"/>
        </w:rPr>
        <w:t>）</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a.优先类节能产品、环境标志产品：</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a1若同一合同包内节能、环境标志产品报价总金额低于该合同包报价总金额</w:t>
      </w:r>
      <w:r>
        <w:rPr>
          <w:rFonts w:hint="default" w:ascii="Calibri" w:hAnsi="Calibri" w:eastAsia="宋体" w:cs="Calibri"/>
          <w:color w:val="auto"/>
          <w:sz w:val="24"/>
          <w:szCs w:val="24"/>
        </w:rPr>
        <w:t>20%</w:t>
      </w:r>
      <w:r>
        <w:rPr>
          <w:rFonts w:hint="eastAsia" w:ascii="宋体" w:hAnsi="宋体" w:eastAsia="宋体" w:cs="宋体"/>
          <w:color w:val="auto"/>
          <w:sz w:val="24"/>
          <w:szCs w:val="24"/>
        </w:rPr>
        <w:t>（含</w:t>
      </w:r>
      <w:r>
        <w:rPr>
          <w:rFonts w:hint="default" w:ascii="Calibri" w:hAnsi="Calibri" w:eastAsia="宋体" w:cs="Calibri"/>
          <w:color w:val="auto"/>
          <w:sz w:val="24"/>
          <w:szCs w:val="24"/>
        </w:rPr>
        <w:t>20%</w:t>
      </w:r>
      <w:r>
        <w:rPr>
          <w:rFonts w:hint="eastAsia" w:ascii="宋体" w:hAnsi="宋体" w:eastAsia="宋体" w:cs="宋体"/>
          <w:color w:val="auto"/>
          <w:sz w:val="24"/>
          <w:szCs w:val="24"/>
        </w:rPr>
        <w:t>）以下，将分别给予节能、环境标志产品价格项（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，按照满分计）和技术项（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，按照满分计）</w:t>
      </w:r>
      <w:r>
        <w:rPr>
          <w:rFonts w:hint="default" w:ascii="Calibri" w:hAnsi="Calibri" w:eastAsia="宋体" w:cs="Calibri"/>
          <w:color w:val="auto"/>
          <w:sz w:val="24"/>
          <w:szCs w:val="24"/>
        </w:rPr>
        <w:t>4%</w:t>
      </w:r>
      <w:r>
        <w:rPr>
          <w:rFonts w:hint="eastAsia" w:ascii="宋体" w:hAnsi="宋体" w:eastAsia="宋体" w:cs="宋体"/>
          <w:color w:val="auto"/>
          <w:sz w:val="24"/>
          <w:szCs w:val="24"/>
        </w:rPr>
        <w:t>的加分；若同一合同包内节能、环境标志产品报价总金额占该合同包报价总金额</w:t>
      </w:r>
      <w:r>
        <w:rPr>
          <w:rFonts w:hint="default" w:ascii="Calibri" w:hAnsi="Calibri" w:eastAsia="宋体" w:cs="Calibri"/>
          <w:color w:val="auto"/>
          <w:sz w:val="24"/>
          <w:szCs w:val="24"/>
        </w:rPr>
        <w:t>20%-50%</w:t>
      </w:r>
      <w:r>
        <w:rPr>
          <w:rFonts w:hint="eastAsia" w:ascii="宋体" w:hAnsi="宋体" w:eastAsia="宋体" w:cs="宋体"/>
          <w:color w:val="auto"/>
          <w:sz w:val="24"/>
          <w:szCs w:val="24"/>
        </w:rPr>
        <w:t>（含</w:t>
      </w:r>
      <w:r>
        <w:rPr>
          <w:rFonts w:hint="default" w:ascii="Calibri" w:hAnsi="Calibri" w:eastAsia="宋体" w:cs="Calibri"/>
          <w:color w:val="auto"/>
          <w:sz w:val="24"/>
          <w:szCs w:val="24"/>
        </w:rPr>
        <w:t>50%</w:t>
      </w:r>
      <w:r>
        <w:rPr>
          <w:rFonts w:hint="eastAsia" w:ascii="宋体" w:hAnsi="宋体" w:eastAsia="宋体" w:cs="宋体"/>
          <w:color w:val="auto"/>
          <w:sz w:val="24"/>
          <w:szCs w:val="24"/>
        </w:rPr>
        <w:t>），将分别给予节能、环境标志产品价格项（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，按照满分计）和技术项（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，按照满分计）</w:t>
      </w:r>
      <w:r>
        <w:rPr>
          <w:rFonts w:hint="default" w:ascii="Calibri" w:hAnsi="Calibri" w:eastAsia="宋体" w:cs="Calibri"/>
          <w:color w:val="auto"/>
          <w:sz w:val="24"/>
          <w:szCs w:val="24"/>
        </w:rPr>
        <w:t>6%</w:t>
      </w:r>
      <w:r>
        <w:rPr>
          <w:rFonts w:hint="eastAsia" w:ascii="宋体" w:hAnsi="宋体" w:eastAsia="宋体" w:cs="宋体"/>
          <w:color w:val="auto"/>
          <w:sz w:val="24"/>
          <w:szCs w:val="24"/>
        </w:rPr>
        <w:t>的加分；若同一合同包内节能、环境标志产品报价总金额占该合同包报价总金额</w:t>
      </w:r>
      <w:r>
        <w:rPr>
          <w:rFonts w:hint="default" w:ascii="Calibri" w:hAnsi="Calibri" w:eastAsia="宋体" w:cs="Calibri"/>
          <w:color w:val="auto"/>
          <w:sz w:val="24"/>
          <w:szCs w:val="24"/>
        </w:rPr>
        <w:t>50%</w:t>
      </w:r>
      <w:r>
        <w:rPr>
          <w:rFonts w:hint="eastAsia" w:ascii="宋体" w:hAnsi="宋体" w:eastAsia="宋体" w:cs="宋体"/>
          <w:color w:val="auto"/>
          <w:sz w:val="24"/>
          <w:szCs w:val="24"/>
        </w:rPr>
        <w:t>以上的，将分别给予节能、环境标志产品价格项（</w:t>
      </w:r>
      <w:r>
        <w:rPr>
          <w:rFonts w:hint="default" w:ascii="Calibri" w:hAnsi="Calibri" w:eastAsia="宋体" w:cs="Calibri"/>
          <w:color w:val="auto"/>
          <w:sz w:val="24"/>
          <w:szCs w:val="24"/>
        </w:rPr>
        <w:t>F1</w:t>
      </w:r>
      <w:r>
        <w:rPr>
          <w:rFonts w:hint="eastAsia" w:ascii="宋体" w:hAnsi="宋体" w:eastAsia="宋体" w:cs="宋体"/>
          <w:color w:val="auto"/>
          <w:sz w:val="24"/>
          <w:szCs w:val="24"/>
        </w:rPr>
        <w:t>×</w:t>
      </w:r>
      <w:r>
        <w:rPr>
          <w:rFonts w:hint="default" w:ascii="Calibri" w:hAnsi="Calibri" w:eastAsia="宋体" w:cs="Calibri"/>
          <w:color w:val="auto"/>
          <w:sz w:val="24"/>
          <w:szCs w:val="24"/>
        </w:rPr>
        <w:t>A1</w:t>
      </w:r>
      <w:r>
        <w:rPr>
          <w:rFonts w:hint="eastAsia" w:ascii="宋体" w:hAnsi="宋体" w:eastAsia="宋体" w:cs="宋体"/>
          <w:color w:val="auto"/>
          <w:sz w:val="24"/>
          <w:szCs w:val="24"/>
        </w:rPr>
        <w:t>，按照满分计）和技术项（</w:t>
      </w:r>
      <w:r>
        <w:rPr>
          <w:rFonts w:hint="default" w:ascii="Calibri" w:hAnsi="Calibri" w:eastAsia="宋体" w:cs="Calibri"/>
          <w:color w:val="auto"/>
          <w:sz w:val="24"/>
          <w:szCs w:val="24"/>
        </w:rPr>
        <w:t>F2</w:t>
      </w:r>
      <w:r>
        <w:rPr>
          <w:rFonts w:hint="eastAsia" w:ascii="宋体" w:hAnsi="宋体" w:eastAsia="宋体" w:cs="宋体"/>
          <w:color w:val="auto"/>
          <w:sz w:val="24"/>
          <w:szCs w:val="24"/>
        </w:rPr>
        <w:t>×</w:t>
      </w:r>
      <w:r>
        <w:rPr>
          <w:rFonts w:hint="default" w:ascii="Calibri" w:hAnsi="Calibri" w:eastAsia="宋体" w:cs="Calibri"/>
          <w:color w:val="auto"/>
          <w:sz w:val="24"/>
          <w:szCs w:val="24"/>
        </w:rPr>
        <w:t>A2</w:t>
      </w:r>
      <w:r>
        <w:rPr>
          <w:rFonts w:hint="eastAsia" w:ascii="宋体" w:hAnsi="宋体" w:eastAsia="宋体" w:cs="宋体"/>
          <w:color w:val="auto"/>
          <w:sz w:val="24"/>
          <w:szCs w:val="24"/>
        </w:rPr>
        <w:t>，按照满分计）</w:t>
      </w:r>
      <w:r>
        <w:rPr>
          <w:rFonts w:hint="default" w:ascii="Calibri" w:hAnsi="Calibri" w:eastAsia="宋体" w:cs="Calibri"/>
          <w:color w:val="auto"/>
          <w:sz w:val="24"/>
          <w:szCs w:val="24"/>
        </w:rPr>
        <w:t>8%</w:t>
      </w:r>
      <w:r>
        <w:rPr>
          <w:rFonts w:hint="eastAsia" w:ascii="宋体" w:hAnsi="宋体" w:eastAsia="宋体" w:cs="宋体"/>
          <w:color w:val="auto"/>
          <w:sz w:val="24"/>
          <w:szCs w:val="24"/>
        </w:rPr>
        <w:t>的加分。</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a2若节能、环境标志产品仅是构成投标产品的部件、组件或零件，则该投标产品不享受鼓励优惠政策。同一品目中各认证证书不重复计算加分。强制类节能产品不享受加分。</w:t>
      </w:r>
    </w:p>
    <w:tbl>
      <w:tblPr>
        <w:tblStyle w:val="7"/>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917"/>
        <w:gridCol w:w="477"/>
        <w:gridCol w:w="6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PrEx>
        <w:trPr>
          <w:tblHeader/>
        </w:trPr>
        <w:tc>
          <w:tcPr>
            <w:tcW w:w="91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评标项目</w:t>
            </w:r>
          </w:p>
        </w:tc>
        <w:tc>
          <w:tcPr>
            <w:tcW w:w="47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评标分值</w:t>
            </w:r>
          </w:p>
        </w:tc>
        <w:tc>
          <w:tcPr>
            <w:tcW w:w="6922"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c>
          <w:tcPr>
            <w:tcW w:w="91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节能、减排、环境标志产品</w:t>
            </w:r>
          </w:p>
        </w:tc>
        <w:tc>
          <w:tcPr>
            <w:tcW w:w="477"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7.2</w:t>
            </w:r>
          </w:p>
        </w:tc>
        <w:tc>
          <w:tcPr>
            <w:tcW w:w="6922" w:type="dxa"/>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同一合同包内的节能、减排、环境标志产品各报价总金额占本合同包报价总金额:①20%及以下:价格评标项：价格评标项标准总分值4%的加分，技术评标项：技术评标项标准总分值4%的加分；②20%-50%(含50%）：价格评标项：价格评标项标准总分值6%的加分，技术评标项：技术评标项标准总分值6%的加分；③50%以上：价格评标项：价格评标项标准总分值8%的加分，技术评标项：技术评标项标准总分值8%的加分。 2、根据闽财购〔2008〕31号文件的规定，对于列入非强制性节能（发改委发布）、减排、环境标志（环保部门发布）产品等最新期政府采购清单内的投标产品将给予一定评审优惠（若节能、减排、环境标志清单内的产品仅是构成投标产品的部件、组件或零件的，则该投标货物不享受优惠政策）。投标人在投标文件中对所投标产品为节能、减排、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提供属于清单内产品的证明资料的不给予加分。（“节能产品”系指列入财政部、国家发改委最新公布《节能产品政府采购清单》的产品；“环境标志产品”系指列入财政部、环保部最新公布的《环境标志政府采购清单》的产品）。同一合同包内的节能、减排、环境标志产品部分加分只对属于清单内的非强制类产品进行加分，强制类产品已作为投标时强制性要求不再给予加分。</w:t>
            </w:r>
          </w:p>
        </w:tc>
      </w:tr>
    </w:tbl>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（4）中标候选人排列规则顺序如下：</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a.按照评标总得分（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）由高到低顺序排列。</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b.评标总得分（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）相同的，按照评标价（即价格扣除后的投标报价）由低到高顺序排列。</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c.评标总得分（</w:t>
      </w:r>
      <w:r>
        <w:rPr>
          <w:rFonts w:hint="default" w:ascii="Calibri" w:hAnsi="Calibri" w:eastAsia="宋体" w:cs="Calibri"/>
          <w:color w:val="auto"/>
          <w:sz w:val="24"/>
          <w:szCs w:val="24"/>
        </w:rPr>
        <w:t>FA</w:t>
      </w:r>
      <w:r>
        <w:rPr>
          <w:rFonts w:hint="eastAsia" w:ascii="宋体" w:hAnsi="宋体" w:eastAsia="宋体" w:cs="宋体"/>
          <w:color w:val="auto"/>
          <w:sz w:val="24"/>
          <w:szCs w:val="24"/>
        </w:rPr>
        <w:t>）且评标价（即价格扣除后的投标报价）相同的并列。</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8、其他规定</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8.1评标应全程保密且不得透露给任一投标人或与评标工作无关的人员。</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8.2评标将进行全程实时录音录像，录音录像资料随采购文件一并存档。</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8.3若投标人有任何试图干扰具体评标事务，影响评标委员会独立履行职责的行为，其投标无效且不予退还投标保证金。情节严重的，由财政部门列入不良行为记录。</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8.4其他：</w:t>
      </w:r>
      <w:r>
        <w:rPr>
          <w:color w:val="auto"/>
          <w:spacing w:val="0"/>
          <w:sz w:val="24"/>
          <w:szCs w:val="24"/>
        </w:rPr>
        <w:t>无。</w:t>
      </w:r>
    </w:p>
    <w:p>
      <w:pPr>
        <w:pStyle w:val="6"/>
        <w:keepNext w:val="0"/>
        <w:keepLines w:val="0"/>
        <w:widowControl/>
        <w:suppressLineNumbers w:val="0"/>
        <w:spacing w:before="75" w:beforeAutospacing="0" w:after="75" w:afterAutospacing="0"/>
        <w:ind w:left="0" w:right="0" w:firstLine="0"/>
        <w:jc w:val="center"/>
        <w:rPr>
          <w:color w:val="auto"/>
        </w:rPr>
      </w:pPr>
      <w:r>
        <w:rPr>
          <w:color w:val="auto"/>
          <w:spacing w:val="0"/>
          <w:sz w:val="24"/>
          <w:szCs w:val="24"/>
        </w:rPr>
        <w:t> </w:t>
      </w:r>
    </w:p>
    <w:p>
      <w:pPr>
        <w:pStyle w:val="6"/>
        <w:keepNext w:val="0"/>
        <w:keepLines w:val="0"/>
        <w:widowControl/>
        <w:suppressLineNumbers w:val="0"/>
        <w:spacing w:before="75" w:beforeAutospacing="0" w:after="75" w:afterAutospacing="0"/>
        <w:ind w:left="0" w:right="0" w:firstLine="0"/>
        <w:jc w:val="center"/>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rPr>
          <w:rStyle w:val="9"/>
          <w:rFonts w:hint="eastAsia" w:ascii="宋体" w:hAnsi="宋体" w:eastAsia="宋体" w:cs="宋体"/>
          <w:b/>
          <w:color w:val="auto"/>
          <w:spacing w:val="0"/>
          <w:sz w:val="31"/>
          <w:szCs w:val="31"/>
        </w:rPr>
      </w:pPr>
      <w:r>
        <w:rPr>
          <w:rStyle w:val="9"/>
          <w:rFonts w:hint="eastAsia" w:ascii="宋体" w:hAnsi="宋体" w:eastAsia="宋体" w:cs="宋体"/>
          <w:b/>
          <w:color w:val="auto"/>
          <w:spacing w:val="0"/>
          <w:sz w:val="31"/>
          <w:szCs w:val="31"/>
        </w:rPr>
        <w:br w:type="page"/>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31"/>
          <w:szCs w:val="31"/>
        </w:rPr>
        <w:t>第五章</w:t>
      </w:r>
      <w:r>
        <w:rPr>
          <w:rStyle w:val="9"/>
          <w:b/>
          <w:color w:val="auto"/>
          <w:spacing w:val="0"/>
          <w:sz w:val="31"/>
          <w:szCs w:val="31"/>
        </w:rPr>
        <w:t>   </w:t>
      </w:r>
      <w:r>
        <w:rPr>
          <w:rStyle w:val="9"/>
          <w:rFonts w:hint="eastAsia" w:ascii="宋体" w:hAnsi="宋体" w:eastAsia="宋体" w:cs="宋体"/>
          <w:b/>
          <w:color w:val="auto"/>
          <w:spacing w:val="0"/>
          <w:sz w:val="31"/>
          <w:szCs w:val="31"/>
        </w:rPr>
        <w:t>招标内容及要求</w:t>
      </w:r>
    </w:p>
    <w:p>
      <w:pPr>
        <w:pStyle w:val="6"/>
        <w:keepNext w:val="0"/>
        <w:keepLines w:val="0"/>
        <w:widowControl/>
        <w:suppressLineNumbers w:val="0"/>
        <w:spacing w:before="75" w:beforeAutospacing="0" w:after="75" w:afterAutospacing="0"/>
        <w:ind w:left="0" w:right="0" w:firstLine="0"/>
        <w:rPr>
          <w:color w:val="auto"/>
        </w:rPr>
      </w:pPr>
      <w:r>
        <w:rPr>
          <w:color w:val="auto"/>
          <w:spacing w:val="0"/>
          <w:sz w:val="24"/>
          <w:szCs w:val="24"/>
        </w:rPr>
        <w:t>一、项目概况（采购标的）</w:t>
      </w:r>
    </w:p>
    <w:p>
      <w:pPr>
        <w:pStyle w:val="6"/>
        <w:keepNext w:val="0"/>
        <w:keepLines w:val="0"/>
        <w:widowControl/>
        <w:suppressLineNumbers w:val="0"/>
        <w:spacing w:before="75" w:beforeAutospacing="0" w:after="75" w:afterAutospacing="0"/>
        <w:ind w:left="0" w:right="0" w:firstLine="0"/>
        <w:rPr>
          <w:rStyle w:val="9"/>
          <w:rFonts w:hint="eastAsia" w:ascii="宋体" w:hAnsi="宋体" w:eastAsia="宋体" w:cs="宋体"/>
          <w:b/>
          <w:color w:val="auto"/>
          <w:spacing w:val="0"/>
          <w:sz w:val="24"/>
          <w:szCs w:val="24"/>
        </w:rPr>
      </w:pPr>
      <w:r>
        <w:rPr>
          <w:rFonts w:hint="eastAsia" w:ascii="宋体" w:hAnsi="宋体" w:eastAsia="宋体" w:cs="宋体"/>
          <w:color w:val="auto"/>
          <w:spacing w:val="0"/>
          <w:sz w:val="24"/>
          <w:szCs w:val="24"/>
        </w:rPr>
        <w:t>二、技术和服务要求</w:t>
      </w:r>
      <w:r>
        <w:rPr>
          <w:rStyle w:val="9"/>
          <w:rFonts w:hint="eastAsia" w:ascii="宋体" w:hAnsi="宋体" w:eastAsia="宋体" w:cs="宋体"/>
          <w:b/>
          <w:color w:val="auto"/>
          <w:spacing w:val="0"/>
          <w:sz w:val="24"/>
          <w:szCs w:val="24"/>
        </w:rPr>
        <w:t>（以“★”标示的内容为不允许负偏离的实质性要求）</w:t>
      </w:r>
    </w:p>
    <w:p>
      <w:pPr>
        <w:pStyle w:val="6"/>
        <w:keepNext w:val="0"/>
        <w:keepLines w:val="0"/>
        <w:widowControl/>
        <w:suppressLineNumbers w:val="0"/>
        <w:spacing w:before="75" w:beforeAutospacing="0" w:after="75" w:afterAutospacing="0"/>
        <w:ind w:left="0" w:right="0" w:firstLine="0"/>
        <w:rPr>
          <w:rStyle w:val="9"/>
          <w:rFonts w:hint="eastAsia" w:ascii="宋体" w:hAnsi="宋体" w:eastAsia="宋体" w:cs="宋体"/>
          <w:b/>
          <w:color w:val="auto"/>
          <w:spacing w:val="0"/>
          <w:sz w:val="24"/>
          <w:szCs w:val="24"/>
          <w:lang w:eastAsia="zh-CN"/>
        </w:rPr>
      </w:pPr>
      <w:r>
        <w:rPr>
          <w:rStyle w:val="9"/>
          <w:rFonts w:hint="eastAsia" w:ascii="宋体" w:hAnsi="宋体" w:eastAsia="宋体" w:cs="宋体"/>
          <w:b/>
          <w:color w:val="auto"/>
          <w:spacing w:val="0"/>
          <w:sz w:val="24"/>
          <w:szCs w:val="24"/>
          <w:lang w:eastAsia="zh-CN"/>
        </w:rPr>
        <w:t>本项目核心产品：</w:t>
      </w:r>
      <w:r>
        <w:rPr>
          <w:rStyle w:val="9"/>
          <w:rFonts w:hint="eastAsia" w:ascii="宋体" w:hAnsi="宋体" w:eastAsia="宋体" w:cs="宋体"/>
          <w:b/>
          <w:color w:val="auto"/>
          <w:sz w:val="24"/>
          <w:szCs w:val="24"/>
        </w:rPr>
        <w:t>微生物质谱仪</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lang w:eastAsia="zh-CN"/>
        </w:rPr>
      </w:pPr>
      <w:r>
        <w:rPr>
          <w:rFonts w:hint="eastAsia" w:ascii="宋体" w:hAnsi="宋体" w:cs="宋体"/>
          <w:b/>
          <w:sz w:val="24"/>
          <w:lang w:eastAsia="zh-CN"/>
        </w:rPr>
        <w:t>（一）</w:t>
      </w:r>
      <w:r>
        <w:rPr>
          <w:rFonts w:hint="eastAsia" w:ascii="宋体" w:hAnsi="宋体" w:cs="宋体"/>
          <w:b/>
          <w:sz w:val="24"/>
        </w:rPr>
        <w:t>微生物质谱仪1</w:t>
      </w:r>
      <w:r>
        <w:rPr>
          <w:rFonts w:hint="eastAsia" w:ascii="宋体" w:hAnsi="宋体" w:cs="宋体"/>
          <w:b/>
          <w:sz w:val="24"/>
          <w:lang w:eastAsia="zh-CN"/>
        </w:rPr>
        <w:t>套</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1.微生物数据库分为临床菌谱库和开放式科研菌谱库两个独立数据库，临床鉴定菌谱库为封闭式数据库，保证临床微生物检验的安全与可靠。</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2.鉴定范围涵盖：临床致病性细菌、丝状真菌、酵母样真菌、皮肤真菌及分枝杆菌。</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3.临床数据库与科研数据库结合，鉴定菌种≥2000种，菌谱≥8000条。</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4.数据库开放可享，可鉴定霍乱弧菌、炭疽杆菌、鼠疫菌。</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5. MALDI-TOF质谱鉴定方法，真菌鉴定无需对标本进行离心萃取。</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6.样品板：有条形码，≥3个对照位，方便质量控制及结果溯源。</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7.一次性样品板。</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8.全程自动判读、自动分析、自动报告、自动卸载。</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★9.仪器通量：每批上机可同时进行≥180个以上测试。</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10.质谱专用基质使用前无需配制直接使用。</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11.可实现多个标本制备工作台同时操作，输入标本信息。</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12.激光器：频率1-50Hz可调，激光聚焦直径可调，激光强度可调，适用于不同的MALDI样品制备方法。</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13. MALDI离子源：在宽质量范围同时获得最高的分辨率，离子源无需清洗。</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14.检测器: 高灵敏度、快速微通道检测器，具有减少基质干扰信号的功能。</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★15.线性飞行管的漂移长度≥1.0米。</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16.分辨率：≥5000FWHM（ACTH促肾上腺皮质激素18-39）线性模式。</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17.灵敏度：250amol。</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b w:val="0"/>
          <w:bCs w:val="0"/>
          <w:sz w:val="24"/>
          <w:szCs w:val="24"/>
          <w:lang w:val="en-US" w:eastAsia="zh-CN"/>
        </w:rPr>
      </w:pPr>
      <w:r>
        <w:rPr>
          <w:rFonts w:hint="eastAsia" w:ascii="宋体" w:hAnsi="宋体"/>
          <w:sz w:val="24"/>
          <w:szCs w:val="24"/>
          <w:lang w:val="en-US" w:eastAsia="zh-CN"/>
        </w:rPr>
        <w:t>18.仪器原装专业系统软件连接质谱仪与微生物药敏仪、血培养仪等设备，同时与LIS/HIS系统连接，实现数据传输与实验室全流程监控，同时实现结果自动传</w:t>
      </w:r>
      <w:r>
        <w:rPr>
          <w:rFonts w:hint="eastAsia" w:ascii="宋体" w:hAnsi="宋体"/>
          <w:b w:val="0"/>
          <w:bCs w:val="0"/>
          <w:sz w:val="24"/>
          <w:szCs w:val="24"/>
          <w:lang w:val="en-US" w:eastAsia="zh-CN"/>
        </w:rPr>
        <w:t>输。</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19.生物安全柜3套</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19.1安全级别：Ⅱ级A2，30%外排</w:t>
      </w:r>
    </w:p>
    <w:p>
      <w:pPr>
        <w:keepNext w:val="0"/>
        <w:keepLines w:val="0"/>
        <w:pageBreakBefore w:val="0"/>
        <w:widowControl/>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19.2工作区尺寸(宽×深×高)：1304×630×630（mm）（±10mm）</w:t>
      </w:r>
    </w:p>
    <w:p>
      <w:pPr>
        <w:keepNext w:val="0"/>
        <w:keepLines w:val="0"/>
        <w:pageBreakBefore w:val="0"/>
        <w:widowControl/>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外尺寸：1500×795×2050（mm）（±10mm）适合双人操作</w:t>
      </w:r>
      <w:r>
        <w:rPr>
          <w:rFonts w:hint="eastAsia" w:ascii="宋体" w:hAnsi="宋体"/>
          <w:sz w:val="24"/>
          <w:szCs w:val="24"/>
          <w:lang w:val="en-US" w:eastAsia="zh-CN"/>
        </w:rPr>
        <w:br w:type="textWrapping"/>
      </w:r>
      <w:r>
        <w:rPr>
          <w:rFonts w:hint="eastAsia" w:ascii="宋体" w:hAnsi="宋体"/>
          <w:sz w:val="24"/>
          <w:szCs w:val="24"/>
          <w:lang w:val="en-US" w:eastAsia="zh-CN"/>
        </w:rPr>
        <w:t>19.3工作区下降气流平均风速：0.35m/s，流入气流：0.55m/s</w:t>
      </w:r>
      <w:r>
        <w:rPr>
          <w:rFonts w:hint="eastAsia" w:ascii="宋体" w:hAnsi="宋体"/>
          <w:sz w:val="24"/>
          <w:szCs w:val="24"/>
          <w:lang w:val="en-US" w:eastAsia="zh-CN"/>
        </w:rPr>
        <w:br w:type="textWrapping"/>
      </w:r>
      <w:r>
        <w:rPr>
          <w:rFonts w:hint="eastAsia" w:ascii="宋体" w:hAnsi="宋体"/>
          <w:sz w:val="24"/>
          <w:szCs w:val="24"/>
          <w:lang w:val="en-US" w:eastAsia="zh-CN"/>
        </w:rPr>
        <w:t>19.4振动半峰值 ≤5μm</w:t>
      </w:r>
      <w:r>
        <w:rPr>
          <w:rFonts w:hint="eastAsia" w:ascii="宋体" w:hAnsi="宋体"/>
          <w:sz w:val="24"/>
          <w:szCs w:val="24"/>
          <w:lang w:val="en-US" w:eastAsia="zh-CN"/>
        </w:rPr>
        <w:br w:type="textWrapping"/>
      </w:r>
      <w:r>
        <w:rPr>
          <w:rFonts w:hint="eastAsia" w:ascii="宋体" w:hAnsi="宋体"/>
          <w:sz w:val="24"/>
          <w:szCs w:val="24"/>
          <w:lang w:val="en-US" w:eastAsia="zh-CN"/>
        </w:rPr>
        <w:t>19.5噪声：≤63分贝</w:t>
      </w:r>
      <w:r>
        <w:rPr>
          <w:rFonts w:hint="eastAsia" w:ascii="宋体" w:hAnsi="宋体"/>
          <w:sz w:val="24"/>
          <w:szCs w:val="24"/>
          <w:lang w:val="en-US" w:eastAsia="zh-CN"/>
        </w:rPr>
        <w:br w:type="textWrapping"/>
      </w:r>
      <w:r>
        <w:rPr>
          <w:rFonts w:hint="eastAsia" w:ascii="宋体" w:hAnsi="宋体" w:cs="宋体"/>
          <w:color w:val="000000"/>
          <w:kern w:val="0"/>
          <w:sz w:val="24"/>
          <w:szCs w:val="24"/>
          <w:lang w:val="en-US" w:eastAsia="zh-CN"/>
        </w:rPr>
        <w:t>￠</w:t>
      </w:r>
      <w:r>
        <w:rPr>
          <w:rFonts w:hint="eastAsia" w:ascii="宋体" w:hAnsi="宋体"/>
          <w:sz w:val="24"/>
          <w:szCs w:val="24"/>
          <w:lang w:val="en-US" w:eastAsia="zh-CN"/>
        </w:rPr>
        <w:t>19.6在送风和排风系统都设置“阻泄露”技术的优质超高效过滤器装置，对于0.12μm的尘埃颗粒捕集效率≥99.9995%，确保达到洁净度10级。（提供技术证明文件与技术说明书和技术方案图）</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19.7过滤材料：采用HV滤膜，材质为硅硼酸盐超细玻璃纤维，满足使用条件下的温度、湿度、耐腐蚀性和机械强度的要求，无释放对人员、环境和设备产生不利影响的物质。</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19.8负压环绕的双层箱体，确保无污染泄露。工作区全部采用SUS304不锈钢，圆弧角内胆一次成型增加自净功能。</w:t>
      </w:r>
      <w:r>
        <w:rPr>
          <w:rFonts w:hint="eastAsia" w:ascii="宋体" w:hAnsi="宋体"/>
          <w:sz w:val="24"/>
          <w:szCs w:val="24"/>
          <w:lang w:val="en-US" w:eastAsia="zh-CN"/>
        </w:rPr>
        <w:br w:type="textWrapping"/>
      </w:r>
      <w:r>
        <w:rPr>
          <w:rFonts w:hint="eastAsia" w:ascii="宋体" w:hAnsi="宋体"/>
          <w:sz w:val="24"/>
          <w:szCs w:val="24"/>
          <w:lang w:val="en-US" w:eastAsia="zh-CN"/>
        </w:rPr>
        <w:t>19.9滑动前窗采用SANCO悬挂升降系统，使用钢化安全玻璃能任意升降定位技术，可靠性，无故障、免维护，并能完全关闭以便灭菌。</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19.10前窗玻璃移门为全幅可清洁结构，移门可下拉至操作台面下，无需人员钻入安全柜操作区，即可进行内部玻璃的全幅擦洗消毒，彻底解决安全柜玻璃内部无法清洗灭菌障碍，扫除卫生死角。</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19.11照明与紫外灯安全互锁功能，当风机、荧光灯关闭时，紫外灯才能运行；开门断紫外灯，紫外灯开启0.5小时（可调）自动关闭，并可预约开关时间。</w:t>
      </w:r>
      <w:r>
        <w:rPr>
          <w:rFonts w:hint="eastAsia" w:ascii="宋体" w:hAnsi="宋体"/>
          <w:sz w:val="24"/>
          <w:szCs w:val="24"/>
          <w:lang w:val="en-US" w:eastAsia="zh-CN"/>
        </w:rPr>
        <w:br w:type="textWrapping"/>
      </w:r>
      <w:r>
        <w:rPr>
          <w:rFonts w:hint="eastAsia" w:ascii="宋体" w:hAnsi="宋体"/>
          <w:sz w:val="24"/>
          <w:szCs w:val="24"/>
          <w:lang w:val="en-US" w:eastAsia="zh-CN"/>
        </w:rPr>
        <w:t>19.12过滤器寿命梯度显示（条形光带），动态监控过滤器使用情况. 并有绿/黄/红三色指示提醒维护与失效报警。</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cs="宋体"/>
          <w:color w:val="000000"/>
          <w:kern w:val="0"/>
          <w:sz w:val="24"/>
          <w:szCs w:val="24"/>
          <w:lang w:val="en-US" w:eastAsia="zh-CN"/>
        </w:rPr>
        <w:t>￠</w:t>
      </w:r>
      <w:r>
        <w:rPr>
          <w:rFonts w:hint="eastAsia" w:ascii="宋体" w:hAnsi="宋体"/>
          <w:sz w:val="24"/>
          <w:szCs w:val="24"/>
          <w:lang w:val="en-US" w:eastAsia="zh-CN"/>
        </w:rPr>
        <w:t>19.13直流无刷节能电机，具有值机功能。自带电压波动补偿功能，在190－250伏宽电压波动范围内保持恒定风速，具有阻力感应补偿功能，有效地延长超高效过滤器的使用寿命。</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cs="宋体"/>
          <w:color w:val="000000"/>
          <w:kern w:val="0"/>
          <w:sz w:val="24"/>
          <w:szCs w:val="24"/>
          <w:lang w:val="en-US" w:eastAsia="zh-CN"/>
        </w:rPr>
        <w:t>￠</w:t>
      </w:r>
      <w:r>
        <w:rPr>
          <w:rFonts w:hint="eastAsia" w:ascii="宋体" w:hAnsi="宋体"/>
          <w:sz w:val="24"/>
          <w:szCs w:val="24"/>
          <w:lang w:val="en-US" w:eastAsia="zh-CN"/>
        </w:rPr>
        <w:t>19.14前吸入口采用无阻碍回风的技术,有效防止逆流、湍流的形成，提高安全性。（提供技术证明文件与技术说明书和技术方案图）</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19.15 高清LCD彩色人机对话界面 ，密码修改程序功能设置，并伴有相关操作程序提示友好界面，触摸按键操作，全程监视显示项目：</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19.15.1实时监控、显示流入气流和下降气流风速；</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19.15.2安全状态显示及声光、联锁报警；</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19.15.3高效过滤器寿命显示及报警；</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19.15.4移门过高声光报警</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19.16安全柜内配有水气接口及电源插座。</w:t>
      </w:r>
      <w:r>
        <w:rPr>
          <w:rFonts w:hint="eastAsia" w:ascii="宋体" w:hAnsi="宋体"/>
          <w:sz w:val="24"/>
          <w:szCs w:val="24"/>
          <w:lang w:val="en-US" w:eastAsia="zh-CN"/>
        </w:rPr>
        <w:br w:type="textWrapping"/>
      </w:r>
      <w:r>
        <w:rPr>
          <w:rFonts w:hint="eastAsia" w:ascii="宋体" w:hAnsi="宋体"/>
          <w:sz w:val="24"/>
          <w:szCs w:val="24"/>
          <w:lang w:val="en-US" w:eastAsia="zh-CN"/>
        </w:rPr>
        <w:t>19.17隔离操作面10度倾斜设计，更符合人体工程学动力，使操作者更舒适。</w:t>
      </w:r>
      <w:r>
        <w:rPr>
          <w:rFonts w:hint="eastAsia" w:ascii="宋体" w:hAnsi="宋体"/>
          <w:sz w:val="24"/>
          <w:szCs w:val="24"/>
          <w:lang w:val="en-US" w:eastAsia="zh-CN"/>
        </w:rPr>
        <w:br w:type="textWrapping"/>
      </w:r>
      <w:r>
        <w:rPr>
          <w:rFonts w:hint="eastAsia" w:ascii="宋体" w:hAnsi="宋体"/>
          <w:sz w:val="24"/>
          <w:szCs w:val="24"/>
          <w:lang w:val="en-US" w:eastAsia="zh-CN"/>
        </w:rPr>
        <w:t>19.18严格的柜体防泄露检测，确保柜体在500PA的条件下无任何泄露</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20.生物安全柜2套</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20.1安全级别：Ⅱ级B2，100%外排</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20.2工作区尺寸(宽×深×高)：1304×630×630（mm）（±10mm）</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外尺寸：1500×795×2050（mm）（±10mm）适合双人操作</w:t>
      </w:r>
      <w:r>
        <w:rPr>
          <w:rFonts w:hint="eastAsia" w:ascii="宋体" w:hAnsi="宋体"/>
          <w:sz w:val="24"/>
          <w:szCs w:val="24"/>
          <w:lang w:val="en-US" w:eastAsia="zh-CN"/>
        </w:rPr>
        <w:br w:type="textWrapping"/>
      </w:r>
      <w:r>
        <w:rPr>
          <w:rFonts w:hint="eastAsia" w:ascii="宋体" w:hAnsi="宋体"/>
          <w:sz w:val="24"/>
          <w:szCs w:val="24"/>
          <w:lang w:val="en-US" w:eastAsia="zh-CN"/>
        </w:rPr>
        <w:t>20.3工作区下降气流平均风速：0.35m/s，流入气流：0.55m/s</w:t>
      </w:r>
      <w:r>
        <w:rPr>
          <w:rFonts w:hint="eastAsia" w:ascii="宋体" w:hAnsi="宋体"/>
          <w:sz w:val="24"/>
          <w:szCs w:val="24"/>
          <w:lang w:val="en-US" w:eastAsia="zh-CN"/>
        </w:rPr>
        <w:br w:type="textWrapping"/>
      </w:r>
      <w:r>
        <w:rPr>
          <w:rFonts w:hint="eastAsia" w:ascii="宋体" w:hAnsi="宋体"/>
          <w:sz w:val="24"/>
          <w:szCs w:val="24"/>
          <w:lang w:val="en-US" w:eastAsia="zh-CN"/>
        </w:rPr>
        <w:t>20.4振动半峰值 ≤5μm</w:t>
      </w:r>
      <w:r>
        <w:rPr>
          <w:rFonts w:hint="eastAsia" w:ascii="宋体" w:hAnsi="宋体"/>
          <w:sz w:val="24"/>
          <w:szCs w:val="24"/>
          <w:lang w:val="en-US" w:eastAsia="zh-CN"/>
        </w:rPr>
        <w:br w:type="textWrapping"/>
      </w:r>
      <w:r>
        <w:rPr>
          <w:rFonts w:hint="eastAsia" w:ascii="宋体" w:hAnsi="宋体"/>
          <w:sz w:val="24"/>
          <w:szCs w:val="24"/>
          <w:lang w:val="en-US" w:eastAsia="zh-CN"/>
        </w:rPr>
        <w:t>20.5噪声：≤63分贝</w:t>
      </w:r>
      <w:r>
        <w:rPr>
          <w:rFonts w:hint="eastAsia" w:ascii="宋体" w:hAnsi="宋体"/>
          <w:sz w:val="24"/>
          <w:szCs w:val="24"/>
          <w:lang w:val="en-US" w:eastAsia="zh-CN"/>
        </w:rPr>
        <w:br w:type="textWrapping"/>
      </w:r>
      <w:r>
        <w:rPr>
          <w:rFonts w:hint="eastAsia" w:ascii="宋体" w:hAnsi="宋体" w:cs="宋体"/>
          <w:color w:val="000000"/>
          <w:kern w:val="0"/>
          <w:sz w:val="24"/>
          <w:szCs w:val="24"/>
          <w:lang w:val="en-US" w:eastAsia="zh-CN"/>
        </w:rPr>
        <w:t>￠</w:t>
      </w:r>
      <w:r>
        <w:rPr>
          <w:rFonts w:hint="eastAsia" w:ascii="宋体" w:hAnsi="宋体"/>
          <w:sz w:val="24"/>
          <w:szCs w:val="24"/>
          <w:lang w:val="en-US" w:eastAsia="zh-CN"/>
        </w:rPr>
        <w:t>20.6在送风和排风系统都设置“阻泄露”技术的优质超高效过滤器装置，对于0.12μm的尘埃颗粒捕集效率≥99.9995%，确保达到洁净度10级。（提供技术证明文件与技术说明书和技术方案图）</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20.7过滤材料：采用HV滤膜，材质为硅硼酸盐超细玻璃纤维，满足使用条件下的温度、湿度、耐腐蚀性和机械强度的要求，无释放对人员、环境和设备产生不利影响的物质。</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20.8负压环绕的双层箱体，确保无污染泄露。工作区全部采用SUS304不锈钢，圆弧角内胆一次成型增加自净功能。</w:t>
      </w:r>
      <w:r>
        <w:rPr>
          <w:rFonts w:hint="eastAsia" w:ascii="宋体" w:hAnsi="宋体"/>
          <w:sz w:val="24"/>
          <w:szCs w:val="24"/>
          <w:lang w:val="en-US" w:eastAsia="zh-CN"/>
        </w:rPr>
        <w:br w:type="textWrapping"/>
      </w:r>
      <w:r>
        <w:rPr>
          <w:rFonts w:hint="eastAsia" w:ascii="宋体" w:hAnsi="宋体"/>
          <w:sz w:val="24"/>
          <w:szCs w:val="24"/>
          <w:lang w:val="en-US" w:eastAsia="zh-CN"/>
        </w:rPr>
        <w:t>20.9滑动前窗采用SANCO悬挂升降系统，非重量平衡系统，使用钢化安全玻璃能任意升降定位技术，可靠性，无故障、免维护，并能完全关闭以便灭菌。</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20.10前窗玻璃移门为全幅可清洁结构，移门可下拉至操作台面下，无需人员钻入安全柜操作区，即可进行内部玻璃的全幅擦洗消毒，彻底解决安全柜玻璃内部无法清洗灭菌障碍，扫除卫生死角。</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20.11照明与紫外灯安全互锁功能，当风机、荧光灯关闭时，紫外灯才能运行；开门断紫外灯，紫外灯开启0.5小时（可调）自动关闭，并可预约开关时间。</w:t>
      </w:r>
      <w:r>
        <w:rPr>
          <w:rFonts w:hint="eastAsia" w:ascii="宋体" w:hAnsi="宋体"/>
          <w:sz w:val="24"/>
          <w:szCs w:val="24"/>
          <w:lang w:val="en-US" w:eastAsia="zh-CN"/>
        </w:rPr>
        <w:br w:type="textWrapping"/>
      </w:r>
      <w:r>
        <w:rPr>
          <w:rFonts w:hint="eastAsia" w:ascii="宋体" w:hAnsi="宋体"/>
          <w:sz w:val="24"/>
          <w:szCs w:val="24"/>
          <w:lang w:val="en-US" w:eastAsia="zh-CN"/>
        </w:rPr>
        <w:t>20.12过滤器寿命梯度显示（条形光带），动态监控过滤器使用情况. 并有绿/黄/红三色指示提醒维护与失效报警。</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cs="宋体"/>
          <w:color w:val="000000"/>
          <w:kern w:val="0"/>
          <w:sz w:val="24"/>
          <w:szCs w:val="24"/>
          <w:lang w:val="en-US" w:eastAsia="zh-CN"/>
        </w:rPr>
        <w:t>￠</w:t>
      </w:r>
      <w:r>
        <w:rPr>
          <w:rFonts w:hint="eastAsia" w:ascii="宋体" w:hAnsi="宋体"/>
          <w:sz w:val="24"/>
          <w:szCs w:val="24"/>
          <w:lang w:val="en-US" w:eastAsia="zh-CN"/>
        </w:rPr>
        <w:t>20.13直流无刷节能电机，自带电压波动补偿功能，在190－250伏宽电压波动范围内保持恒定风速，具有阻力感应补偿功能，有效地延长超高效过滤器的使用寿命。</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cs="宋体"/>
          <w:color w:val="000000"/>
          <w:kern w:val="0"/>
          <w:sz w:val="24"/>
          <w:szCs w:val="24"/>
          <w:lang w:val="en-US" w:eastAsia="zh-CN"/>
        </w:rPr>
        <w:t>￠</w:t>
      </w:r>
      <w:r>
        <w:rPr>
          <w:rFonts w:hint="eastAsia" w:ascii="宋体" w:hAnsi="宋体"/>
          <w:sz w:val="24"/>
          <w:szCs w:val="24"/>
          <w:lang w:val="en-US" w:eastAsia="zh-CN"/>
        </w:rPr>
        <w:t>20.14前吸入口采用无阻碍回风的技术,有效防止逆流、湍流的形成，提高安全性。（提供技术证明文件与技术说明书和技术方案图）</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20.15高清LCD彩色人机对话界面 ，密码修改程序功能设置，并伴有相关操作程序提示友好界面，触摸按键操作，全程监视显示项目：</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20.15.1实时监控、显示流入气流和下降气流风速；</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20.15.2安全状态显示及声光、联锁报警；</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20.15.3高效过滤器寿命显示及报警；</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20.15.4移门过高声光报警</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20.16安全柜内配有水气接口及电源插座。</w:t>
      </w:r>
      <w:r>
        <w:rPr>
          <w:rFonts w:hint="eastAsia" w:ascii="宋体" w:hAnsi="宋体"/>
          <w:sz w:val="24"/>
          <w:szCs w:val="24"/>
          <w:lang w:val="en-US" w:eastAsia="zh-CN"/>
        </w:rPr>
        <w:br w:type="textWrapping"/>
      </w:r>
      <w:r>
        <w:rPr>
          <w:rFonts w:hint="eastAsia" w:ascii="宋体" w:hAnsi="宋体"/>
          <w:sz w:val="24"/>
          <w:szCs w:val="24"/>
          <w:lang w:val="en-US" w:eastAsia="zh-CN"/>
        </w:rPr>
        <w:t>20.17隔离操作面10度倾斜设计，更符合人体工程学动力，使操作者更舒适。</w:t>
      </w:r>
      <w:r>
        <w:rPr>
          <w:rFonts w:hint="eastAsia" w:ascii="宋体" w:hAnsi="宋体"/>
          <w:sz w:val="24"/>
          <w:szCs w:val="24"/>
          <w:lang w:val="en-US" w:eastAsia="zh-CN"/>
        </w:rPr>
        <w:br w:type="textWrapping"/>
      </w:r>
      <w:r>
        <w:rPr>
          <w:rFonts w:hint="eastAsia" w:ascii="宋体" w:hAnsi="宋体"/>
          <w:sz w:val="24"/>
          <w:szCs w:val="24"/>
          <w:lang w:val="en-US" w:eastAsia="zh-CN"/>
        </w:rPr>
        <w:t>20.18严格的柜体防泄露检测，确保柜体在500PA的条件下无任何泄露</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20.19采用的高效低能的排风机，排风机体积小，安装方便</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20.20排风管路采用的执行器控制阀门,降低外界气流对安全柜的影响,提高安全.</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cs="宋体"/>
          <w:b/>
          <w:sz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lang w:eastAsia="zh-CN"/>
        </w:rPr>
      </w:pPr>
      <w:r>
        <w:rPr>
          <w:rFonts w:hint="eastAsia" w:ascii="宋体" w:hAnsi="宋体" w:cs="宋体"/>
          <w:b/>
          <w:sz w:val="24"/>
          <w:lang w:eastAsia="zh-CN"/>
        </w:rPr>
        <w:t>（二）</w:t>
      </w:r>
      <w:r>
        <w:rPr>
          <w:rFonts w:hint="eastAsia" w:ascii="宋体" w:hAnsi="宋体" w:cs="宋体"/>
          <w:b/>
          <w:sz w:val="24"/>
        </w:rPr>
        <w:t>高效液相串联质谱仪1</w:t>
      </w:r>
      <w:r>
        <w:rPr>
          <w:rFonts w:hint="eastAsia" w:ascii="宋体" w:hAnsi="宋体" w:cs="宋体"/>
          <w:b/>
          <w:sz w:val="24"/>
          <w:lang w:eastAsia="zh-CN"/>
        </w:rPr>
        <w:t>套</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1 总要求</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1.1 工作条件及安全性符合中国境内有关标准或规定要要求</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1.2 仪器灵敏度要高，稳定性好，重复性好</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2 超高效液相色谱仪指标</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2.1二元高压梯度泵</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2.1.1流量范围：0.001mL/min-5.00mL/min</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cs="宋体"/>
          <w:color w:val="000000"/>
          <w:kern w:val="0"/>
          <w:sz w:val="24"/>
          <w:szCs w:val="24"/>
          <w:lang w:val="en-US" w:eastAsia="zh-CN"/>
        </w:rPr>
        <w:t>￠</w:t>
      </w:r>
      <w:r>
        <w:rPr>
          <w:rFonts w:hint="eastAsia" w:ascii="宋体" w:hAnsi="宋体"/>
          <w:sz w:val="24"/>
          <w:szCs w:val="24"/>
          <w:lang w:val="en-US" w:eastAsia="zh-CN"/>
        </w:rPr>
        <w:t>2.1.2输液压力：≥66Mpa</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2.1.3 流量精度：≤0.06%RSD</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2.1.4 流速准确度 ：±1%</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2.1.5 柱塞冲洗：标配自动清洗柱塞装置</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2.1.6在线脱气机：5个独立通道</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2.2 柱温箱:</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2.2.1 温度控制范围：室温 +10℃ ~ 85℃</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2.2.2 温度控制精度：0.1℃以下</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★2.2.3 同时可放6根30cm色谱柱</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2.3 自动进样器</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cs="宋体"/>
          <w:color w:val="000000"/>
          <w:kern w:val="0"/>
          <w:sz w:val="24"/>
          <w:szCs w:val="24"/>
          <w:lang w:val="en-US" w:eastAsia="zh-CN"/>
        </w:rPr>
        <w:t>￠</w:t>
      </w:r>
      <w:r>
        <w:rPr>
          <w:rFonts w:hint="eastAsia" w:ascii="宋体" w:hAnsi="宋体"/>
          <w:sz w:val="24"/>
          <w:szCs w:val="24"/>
          <w:lang w:val="en-US" w:eastAsia="zh-CN"/>
        </w:rPr>
        <w:t>2.3.1 自动进样器内外洗针方式：≥3路洗针溶剂并在线脱气，≥4种洗针模式，以保证最低交叉污染；</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 xml:space="preserve">2.2.2进样量设定范围：0.1uL-50 uL </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2.3.3 样品瓶数目：≥100位(1.5ml—2ml样品瓶)</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2.3.4 进样准确度：&lt;±1%</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2.3.5 交叉污染：&lt; 0.004%</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3 三重四极杆串联质谱仪</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3.1 质量分析器类型:三重四极杆串联质谱仪</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3.2 离子源</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cs="宋体"/>
          <w:color w:val="000000"/>
          <w:kern w:val="0"/>
          <w:sz w:val="24"/>
          <w:szCs w:val="24"/>
          <w:lang w:val="en-US" w:eastAsia="zh-CN"/>
        </w:rPr>
        <w:t>￠</w:t>
      </w:r>
      <w:r>
        <w:rPr>
          <w:rFonts w:hint="eastAsia" w:ascii="宋体" w:hAnsi="宋体"/>
          <w:sz w:val="24"/>
          <w:szCs w:val="24"/>
          <w:lang w:val="en-US" w:eastAsia="zh-CN"/>
        </w:rPr>
        <w:t>3.2.1 标配独立的ESI源和APCI源</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cs="宋体"/>
          <w:color w:val="000000"/>
          <w:kern w:val="0"/>
          <w:sz w:val="24"/>
          <w:szCs w:val="24"/>
          <w:lang w:val="en-US" w:eastAsia="zh-CN"/>
        </w:rPr>
        <w:t>￠</w:t>
      </w:r>
      <w:r>
        <w:rPr>
          <w:rFonts w:hint="eastAsia" w:ascii="宋体" w:hAnsi="宋体"/>
          <w:sz w:val="24"/>
          <w:szCs w:val="24"/>
          <w:lang w:val="en-US" w:eastAsia="zh-CN"/>
        </w:rPr>
        <w:t>3.2.2 ESI源流速耐受要求：最大流速3mL/min（必须为不分流的情况下，且灵敏度不损失）。</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3.2.3 APCI源流速耐受要求：最大流速3mL/min（必须为不分流的情况下，且灵敏度不损失）。</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bookmarkStart w:id="0" w:name="OLE_LINK4"/>
      <w:bookmarkStart w:id="1" w:name="OLE_LINK3"/>
      <w:r>
        <w:rPr>
          <w:rFonts w:hint="eastAsia" w:ascii="宋体" w:hAnsi="宋体" w:cs="宋体"/>
          <w:color w:val="000000"/>
          <w:kern w:val="0"/>
          <w:sz w:val="24"/>
          <w:szCs w:val="24"/>
          <w:lang w:val="en-US" w:eastAsia="zh-CN"/>
        </w:rPr>
        <w:t>￠</w:t>
      </w:r>
      <w:r>
        <w:rPr>
          <w:rFonts w:hint="eastAsia" w:ascii="宋体" w:hAnsi="宋体"/>
          <w:sz w:val="24"/>
          <w:szCs w:val="24"/>
          <w:lang w:val="en-US" w:eastAsia="zh-CN"/>
        </w:rPr>
        <w:t>3.2.4离子源内具有两路加热雾化气，对称加热设计，辅助加热气最高温度750℃（该温度必须在质谱软件上可以设置并实现）。</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3.2.5插拔式可互换ESI及APCI喷针，可在实现ESI源及APCI源的快速更换无需放空质谱真空系统。</w:t>
      </w:r>
    </w:p>
    <w:bookmarkEnd w:id="0"/>
    <w:bookmarkEnd w:id="1"/>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cs="宋体"/>
          <w:color w:val="000000"/>
          <w:kern w:val="0"/>
          <w:sz w:val="24"/>
          <w:szCs w:val="24"/>
          <w:lang w:val="en-US" w:eastAsia="zh-CN"/>
        </w:rPr>
        <w:t>￠</w:t>
      </w:r>
      <w:r>
        <w:rPr>
          <w:rFonts w:hint="eastAsia" w:ascii="宋体" w:hAnsi="宋体"/>
          <w:sz w:val="24"/>
          <w:szCs w:val="24"/>
          <w:lang w:val="en-US" w:eastAsia="zh-CN"/>
        </w:rPr>
        <w:t>3.2.6 采用高纯氮气作为雾化气和碰撞气，无需氩气等额外气源，以节省实验成本和提高方便性。</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3.2.7离子传输方式: 采用高压离子聚焦技术，压力8 mtorr，以确保最佳的离子聚焦效果和离子传输效率。</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3.2.8离子源内有负压抽气设计，加速废气、液滴及其他中性分子排出，保证离子流的稳定，降低离子源的记忆效应和污染，降低机械泵的负荷延长机械泵泵油使用时间，维护试验环境，保障工作人员健康。</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3.2.9离子源接口要求采用带气帘气技术的一级锥孔结构，无毛细管或其它任何管路传输设计，以同时保持高灵敏度和优异的抗污染能力。</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cs="宋体"/>
          <w:color w:val="000000"/>
          <w:kern w:val="0"/>
          <w:sz w:val="24"/>
          <w:szCs w:val="24"/>
          <w:lang w:val="en-US" w:eastAsia="zh-CN"/>
        </w:rPr>
        <w:t>￠</w:t>
      </w:r>
      <w:r>
        <w:rPr>
          <w:rFonts w:hint="eastAsia" w:ascii="宋体" w:hAnsi="宋体"/>
          <w:sz w:val="24"/>
          <w:szCs w:val="24"/>
          <w:lang w:val="en-US" w:eastAsia="zh-CN"/>
        </w:rPr>
        <w:t>3.3 串联质谱碰撞池技术: 采用180°弯曲碰撞池设计，且具有线性加速技术。</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3.4 检测器：必须为数字脉冲电子倍增器，能够满足长期大量脏样品定量分析的数据可靠性和重复性。</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3.5 真空系统：特殊设计的机械泵和长寿命涡轮分子泵组合差分抽气高真空系统, 无需额外水冷却系统，具有自动断电保护功能。</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bookmarkStart w:id="2" w:name="_Hlk523900523"/>
      <w:r>
        <w:rPr>
          <w:rFonts w:hint="eastAsia" w:ascii="宋体" w:hAnsi="宋体" w:cs="宋体"/>
          <w:color w:val="000000"/>
          <w:kern w:val="0"/>
          <w:sz w:val="24"/>
          <w:szCs w:val="24"/>
          <w:lang w:val="en-US" w:eastAsia="zh-CN"/>
        </w:rPr>
        <w:t>￠</w:t>
      </w:r>
      <w:r>
        <w:rPr>
          <w:rFonts w:hint="eastAsia" w:ascii="宋体" w:hAnsi="宋体"/>
          <w:sz w:val="24"/>
          <w:szCs w:val="24"/>
          <w:lang w:val="en-US" w:eastAsia="zh-CN"/>
        </w:rPr>
        <w:t>3.6质量分析器：采用弹性系数小的陶瓷镀金材质，保证长时间的稳定性。</w:t>
      </w:r>
      <w:bookmarkEnd w:id="2"/>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3.7 三重四极杆扫描：全扫描、子离子扫描、母离子扫描、中性丢失扫描、MRM扫描。</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3.8 质谱系统的性能</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3.8.1四级杆扫描质量范围(m/z)：低质量端5~2000 amu。</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cs="宋体"/>
          <w:color w:val="000000"/>
          <w:kern w:val="0"/>
          <w:sz w:val="24"/>
          <w:szCs w:val="24"/>
          <w:lang w:val="en-US" w:eastAsia="zh-CN"/>
        </w:rPr>
        <w:t>￠</w:t>
      </w:r>
      <w:r>
        <w:rPr>
          <w:rFonts w:hint="eastAsia" w:ascii="宋体" w:hAnsi="宋体"/>
          <w:sz w:val="24"/>
          <w:szCs w:val="24"/>
          <w:lang w:val="en-US" w:eastAsia="zh-CN"/>
        </w:rPr>
        <w:t>3.8.2在 半峰宽0.7amu下， 四极杆扫描速度≥12000 amu/s</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3.8.3 MRM最小驻留时间(dwell time)≤1ms</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3.8.4 线性范围：≥6个数量级</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3.8.5 质量稳定性：全质量范围质量稳定性优于0.1Da/24hr</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cs="宋体"/>
          <w:color w:val="000000"/>
          <w:kern w:val="0"/>
          <w:sz w:val="24"/>
          <w:szCs w:val="24"/>
          <w:lang w:val="en-US" w:eastAsia="zh-CN"/>
        </w:rPr>
        <w:t>￠</w:t>
      </w:r>
      <w:r>
        <w:rPr>
          <w:rFonts w:hint="eastAsia" w:ascii="宋体" w:hAnsi="宋体"/>
          <w:sz w:val="24"/>
          <w:szCs w:val="24"/>
          <w:lang w:val="en-US" w:eastAsia="zh-CN"/>
        </w:rPr>
        <w:t>3.8.6 ESI+灵敏度：1pg 利血平，MRM离子对为m/z609与195，分辨率设置为0.6-0.8 amu（FWHH），过色谱柱， 信噪比＞120000:1。</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★3.8.7 ESI-灵敏度：1 pg 氯霉素，MRM离子对为m/z321与152，分辨率设置为0.6-0.8 amu（FWHH），过色谱柱， 信噪比＞120000:1。</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3.8.8仪器重现性：5ppb和50ppb的利血平连续5次进样RSD＜1%。</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4 工作站软件</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4.1自动实现仪器的功能配置、条件优化、数据采集、数据处理、快速定量。</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4.2软件同时控制液相、质谱，能自动地确保系统待用、进行质量校正；能自动优化分析目标物，自动建立MRM的定量分析参数，达到最佳检测限。</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4.3 能提供“及时”定量数据质量监测，以确定QC或空白样品是否落在用户指定的误差范围内。</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firstLine="0"/>
        <w:textAlignment w:val="auto"/>
        <w:outlineLvl w:val="9"/>
        <w:rPr>
          <w:rFonts w:hint="eastAsia" w:ascii="宋体" w:hAnsi="宋体"/>
          <w:sz w:val="24"/>
          <w:szCs w:val="24"/>
          <w:lang w:val="en-US" w:eastAsia="zh-CN"/>
        </w:rPr>
      </w:pPr>
      <w:r>
        <w:rPr>
          <w:rFonts w:hint="eastAsia" w:ascii="宋体" w:hAnsi="宋体"/>
          <w:sz w:val="24"/>
          <w:szCs w:val="24"/>
          <w:lang w:val="en-US" w:eastAsia="zh-CN"/>
        </w:rPr>
        <w:t>4.4配备数据独立专业定量分析软件，具备大规模处理数据的能力，可以在同一界面对成百上千个数据分析，并同一界面对每个需要分析的化合物进行分析，自动积分定量处理。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5.全自动抗酸染色机1套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sz w:val="24"/>
          <w:szCs w:val="24"/>
          <w:lang w:val="en-US" w:eastAsia="zh-CN"/>
        </w:rPr>
        <w:t>5.1</w:t>
      </w:r>
      <w:r>
        <w:rPr>
          <w:rFonts w:hint="eastAsia" w:ascii="宋体" w:hAnsi="宋体"/>
          <w:sz w:val="24"/>
          <w:szCs w:val="24"/>
        </w:rPr>
        <w:t>一键智能处理多种涂片：染色过程无需设置玻片厚度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sz w:val="24"/>
          <w:szCs w:val="24"/>
          <w:lang w:val="en-US" w:eastAsia="zh-CN"/>
        </w:rPr>
        <w:t>5.2</w:t>
      </w:r>
      <w:r>
        <w:rPr>
          <w:rFonts w:hint="eastAsia" w:ascii="宋体" w:hAnsi="宋体"/>
          <w:sz w:val="24"/>
          <w:szCs w:val="24"/>
        </w:rPr>
        <w:t>微量浸泡式染色：玻片水平放置，染色液可浸泡标本保证染色质量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cs="宋体"/>
          <w:color w:val="000000"/>
          <w:kern w:val="0"/>
          <w:sz w:val="24"/>
          <w:szCs w:val="24"/>
          <w:lang w:val="en-US" w:eastAsia="zh-CN"/>
        </w:rPr>
        <w:t>￠</w:t>
      </w:r>
      <w:r>
        <w:rPr>
          <w:rFonts w:hint="eastAsia" w:ascii="宋体" w:hAnsi="宋体"/>
          <w:sz w:val="24"/>
          <w:szCs w:val="24"/>
          <w:lang w:val="en-US" w:eastAsia="zh-CN"/>
        </w:rPr>
        <w:t>5.3</w:t>
      </w:r>
      <w:r>
        <w:rPr>
          <w:rFonts w:hint="eastAsia" w:ascii="宋体" w:hAnsi="宋体"/>
          <w:sz w:val="24"/>
          <w:szCs w:val="24"/>
        </w:rPr>
        <w:t xml:space="preserve">定量加液技术，采用低染方式，可用使用加液泵加液，保证染色使用量精准可控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sz w:val="24"/>
          <w:szCs w:val="24"/>
          <w:lang w:val="en-US" w:eastAsia="zh-CN"/>
        </w:rPr>
        <w:t>5.4</w:t>
      </w:r>
      <w:r>
        <w:rPr>
          <w:rFonts w:hint="eastAsia" w:ascii="宋体" w:hAnsi="宋体"/>
          <w:sz w:val="24"/>
          <w:szCs w:val="24"/>
        </w:rPr>
        <w:t>染 片数量：可选择同时染8片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sz w:val="24"/>
          <w:szCs w:val="24"/>
          <w:lang w:val="en-US" w:eastAsia="zh-CN"/>
        </w:rPr>
        <w:t>5.5</w:t>
      </w:r>
      <w:r>
        <w:rPr>
          <w:rFonts w:hint="eastAsia" w:ascii="宋体" w:hAnsi="宋体"/>
          <w:sz w:val="24"/>
          <w:szCs w:val="24"/>
        </w:rPr>
        <w:t>烤片装置：烤片机1台,温度范围为60℃-80℃，可快速干燥涂片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sz w:val="24"/>
          <w:szCs w:val="24"/>
          <w:lang w:val="en-US" w:eastAsia="zh-CN"/>
        </w:rPr>
        <w:t>5.6</w:t>
      </w:r>
      <w:r>
        <w:rPr>
          <w:rFonts w:hint="eastAsia" w:ascii="宋体" w:hAnsi="宋体"/>
          <w:sz w:val="24"/>
          <w:szCs w:val="24"/>
        </w:rPr>
        <w:t>自动清洗功能：封闭染色坏境，具有自动清洗功能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sz w:val="24"/>
          <w:szCs w:val="24"/>
          <w:lang w:val="en-US" w:eastAsia="zh-CN"/>
        </w:rPr>
        <w:t>5.7</w:t>
      </w:r>
      <w:r>
        <w:rPr>
          <w:rFonts w:hint="eastAsia" w:ascii="宋体" w:hAnsi="宋体"/>
          <w:sz w:val="24"/>
          <w:szCs w:val="24"/>
        </w:rPr>
        <w:t>标本结束后可自动甩干，速度为322转/分钟，可达到脱水和保护标本染色结果的目的。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sz w:val="24"/>
          <w:szCs w:val="24"/>
          <w:lang w:val="en-US" w:eastAsia="zh-CN"/>
        </w:rPr>
        <w:t>5.8</w:t>
      </w:r>
      <w:r>
        <w:rPr>
          <w:rFonts w:hint="eastAsia" w:ascii="宋体" w:hAnsi="宋体"/>
          <w:sz w:val="24"/>
          <w:szCs w:val="24"/>
        </w:rPr>
        <w:t>独立玻片盒，更能固定玻片位置，防止玻片脱落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sz w:val="24"/>
          <w:szCs w:val="24"/>
          <w:lang w:val="en-US" w:eastAsia="zh-CN"/>
        </w:rPr>
        <w:t>5.9</w:t>
      </w:r>
      <w:r>
        <w:rPr>
          <w:rFonts w:hint="eastAsia" w:ascii="宋体" w:hAnsi="宋体"/>
          <w:sz w:val="24"/>
          <w:szCs w:val="24"/>
        </w:rPr>
        <w:t>自动提示染液量，方便及时更换染色液。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sz w:val="24"/>
          <w:szCs w:val="24"/>
          <w:lang w:val="en-US" w:eastAsia="zh-CN"/>
        </w:rPr>
        <w:t>5.10</w:t>
      </w:r>
      <w:r>
        <w:rPr>
          <w:rFonts w:hint="eastAsia" w:ascii="宋体" w:hAnsi="宋体"/>
          <w:sz w:val="24"/>
          <w:szCs w:val="24"/>
        </w:rPr>
        <w:t>实时监测染色进度，并且能自动提示染色完成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sz w:val="24"/>
          <w:szCs w:val="24"/>
          <w:lang w:val="en-US" w:eastAsia="zh-CN"/>
        </w:rPr>
        <w:t>5.11</w:t>
      </w:r>
      <w:r>
        <w:rPr>
          <w:rFonts w:hint="eastAsia" w:ascii="宋体" w:hAnsi="宋体"/>
          <w:sz w:val="24"/>
          <w:szCs w:val="24"/>
        </w:rPr>
        <w:t>可直接使用自来水进行染液冲洗。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sz w:val="24"/>
          <w:szCs w:val="24"/>
          <w:lang w:val="en-US" w:eastAsia="zh-CN"/>
        </w:rPr>
        <w:t>5.12</w:t>
      </w:r>
      <w:r>
        <w:rPr>
          <w:rFonts w:hint="eastAsia" w:ascii="宋体" w:hAnsi="宋体"/>
          <w:sz w:val="24"/>
          <w:szCs w:val="24"/>
        </w:rPr>
        <w:t>内置染色液，有效保护染色液质量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sz w:val="24"/>
          <w:szCs w:val="24"/>
          <w:lang w:val="en-US" w:eastAsia="zh-CN"/>
        </w:rPr>
        <w:t>5.13</w:t>
      </w:r>
      <w:r>
        <w:rPr>
          <w:rFonts w:hint="eastAsia" w:ascii="宋体" w:hAnsi="宋体"/>
          <w:sz w:val="24"/>
          <w:szCs w:val="24"/>
        </w:rPr>
        <w:t>彩色液晶屏幕，染色信息一目了然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val="0"/>
          <w:bCs w:val="0"/>
          <w:sz w:val="24"/>
          <w:szCs w:val="24"/>
        </w:rPr>
      </w:pPr>
      <w:r>
        <w:rPr>
          <w:rFonts w:hint="eastAsia" w:ascii="宋体" w:hAnsi="宋体"/>
          <w:b w:val="0"/>
          <w:bCs w:val="0"/>
          <w:sz w:val="24"/>
          <w:szCs w:val="24"/>
          <w:lang w:val="en-US" w:eastAsia="zh-CN"/>
        </w:rPr>
        <w:t>5.14</w:t>
      </w:r>
      <w:r>
        <w:rPr>
          <w:rFonts w:hint="eastAsia" w:ascii="宋体" w:hAnsi="宋体"/>
          <w:b w:val="0"/>
          <w:bCs w:val="0"/>
          <w:sz w:val="24"/>
          <w:szCs w:val="24"/>
        </w:rPr>
        <w:t>抗酸染色兼具传统染色和荧光染色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6.全自动革兰染色染色机1套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6.1一键智能处理多种涂片：无需设置玻片厚度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★6.2微量浸泡式染色：玻片水平放置，染色液可浸泡标本保证染色质量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6.3大口径加液器，避免加液头堵塞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6.4独立玻片盒，更能固定玻片位置，防止玻片脱落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6.5自动清洗功能：杜绝仪器内部污染，保护仪器长期使用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6.6低速离心脱水：既可达到脱水目的，又可防止标本脱落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6.7染 片数量：可选择同时染8片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6.8自动提示染液量，方便及时更换染色液。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6.9实时监测染色进度，并且能自动提示染色完成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6.10内置染色液，有效保护染色液质量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6.11可直接使用自来水进行染液冲洗。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6.12彩色液晶屏幕，染色信息一目了然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sz w:val="24"/>
          <w:lang w:eastAsia="zh-CN"/>
        </w:rPr>
      </w:pPr>
      <w:r>
        <w:rPr>
          <w:rFonts w:hint="eastAsia" w:ascii="宋体" w:hAnsi="宋体"/>
          <w:sz w:val="24"/>
          <w:szCs w:val="24"/>
          <w:lang w:val="en-US" w:eastAsia="zh-CN"/>
        </w:rPr>
        <w:t>★6.13烤片装置：配置烤片机（1台），温度范围为60℃-80℃，可快速干燥涂片</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lang w:eastAsia="zh-CN"/>
        </w:rPr>
      </w:pPr>
      <w:r>
        <w:rPr>
          <w:rFonts w:hint="eastAsia" w:ascii="宋体" w:hAnsi="宋体" w:cs="宋体"/>
          <w:b/>
          <w:sz w:val="24"/>
          <w:lang w:eastAsia="zh-CN"/>
        </w:rPr>
        <w:t>（三）</w:t>
      </w:r>
      <w:r>
        <w:rPr>
          <w:rFonts w:hint="eastAsia" w:ascii="宋体" w:hAnsi="宋体" w:cs="宋体"/>
          <w:b/>
          <w:sz w:val="24"/>
        </w:rPr>
        <w:t>全自动血培养仪1</w:t>
      </w:r>
      <w:r>
        <w:rPr>
          <w:rFonts w:hint="eastAsia" w:ascii="宋体" w:hAnsi="宋体" w:cs="宋体"/>
          <w:b/>
          <w:sz w:val="24"/>
          <w:lang w:eastAsia="zh-CN"/>
        </w:rPr>
        <w:t>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val="0"/>
          <w:bCs w:val="0"/>
          <w:sz w:val="24"/>
          <w:szCs w:val="24"/>
          <w:lang w:val="en-US" w:eastAsia="zh-CN"/>
        </w:rPr>
      </w:pPr>
      <w:r>
        <w:rPr>
          <w:rFonts w:hint="eastAsia" w:ascii="宋体" w:hAnsi="宋体"/>
          <w:b w:val="0"/>
          <w:bCs w:val="0"/>
          <w:sz w:val="24"/>
          <w:szCs w:val="24"/>
          <w:lang w:val="en-US" w:eastAsia="zh-CN"/>
        </w:rPr>
        <w:t>1.采用比色法，每10分钟检测一次。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val="0"/>
          <w:bCs w:val="0"/>
          <w:sz w:val="24"/>
          <w:szCs w:val="24"/>
          <w:lang w:val="en-US" w:eastAsia="zh-CN"/>
        </w:rPr>
      </w:pPr>
      <w:r>
        <w:rPr>
          <w:rFonts w:hint="eastAsia" w:ascii="宋体" w:hAnsi="宋体"/>
          <w:b w:val="0"/>
          <w:bCs w:val="0"/>
          <w:sz w:val="24"/>
          <w:szCs w:val="24"/>
          <w:lang w:val="en-US" w:eastAsia="zh-CN"/>
        </w:rPr>
        <w:t>★2.检测原理：H2O与CO2反应，生成H+、HCO3-，H+扩散到瓶底部使其产生不可逆的颜色反应。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val="0"/>
          <w:bCs w:val="0"/>
          <w:sz w:val="24"/>
          <w:szCs w:val="24"/>
          <w:lang w:val="en-US" w:eastAsia="zh-CN"/>
        </w:rPr>
      </w:pPr>
      <w:r>
        <w:rPr>
          <w:rFonts w:hint="eastAsia" w:ascii="宋体" w:hAnsi="宋体"/>
          <w:b w:val="0"/>
          <w:bCs w:val="0"/>
          <w:sz w:val="24"/>
          <w:szCs w:val="24"/>
          <w:lang w:val="en-US" w:eastAsia="zh-CN"/>
        </w:rPr>
        <w:t>3.检测三种检测值：CO2初始值、CO2产生加速度（斜率）及CO2单位时间产生的差值（速度）。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val="0"/>
          <w:bCs w:val="0"/>
          <w:sz w:val="24"/>
          <w:szCs w:val="24"/>
          <w:lang w:val="en-US" w:eastAsia="zh-CN"/>
        </w:rPr>
      </w:pPr>
      <w:r>
        <w:rPr>
          <w:rFonts w:hint="eastAsia" w:ascii="宋体" w:hAnsi="宋体"/>
          <w:b w:val="0"/>
          <w:bCs w:val="0"/>
          <w:sz w:val="24"/>
          <w:szCs w:val="24"/>
          <w:lang w:val="en-US" w:eastAsia="zh-CN"/>
        </w:rPr>
        <w:t>4.仪器除普通细菌的培养外，还可进行痰标本的结核分枝杆菌的培养，培养瓶种类要求有儿童瓶、需氧瓶、厌氧瓶、抗生素中和瓶，不需要另外的真菌瓶。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val="0"/>
          <w:bCs w:val="0"/>
          <w:sz w:val="24"/>
          <w:szCs w:val="24"/>
          <w:lang w:val="en-US" w:eastAsia="zh-CN"/>
        </w:rPr>
      </w:pPr>
      <w:r>
        <w:rPr>
          <w:rFonts w:hint="eastAsia" w:ascii="宋体" w:hAnsi="宋体" w:cs="宋体"/>
          <w:color w:val="000000"/>
          <w:kern w:val="0"/>
          <w:sz w:val="24"/>
          <w:szCs w:val="24"/>
          <w:lang w:val="en-US" w:eastAsia="zh-CN"/>
        </w:rPr>
        <w:t>￠</w:t>
      </w:r>
      <w:r>
        <w:rPr>
          <w:rFonts w:hint="eastAsia" w:ascii="宋体" w:hAnsi="宋体"/>
          <w:b w:val="0"/>
          <w:bCs w:val="0"/>
          <w:sz w:val="24"/>
          <w:szCs w:val="24"/>
          <w:lang w:val="en-US" w:eastAsia="zh-CN"/>
        </w:rPr>
        <w:t>5.原厂培养瓶瓶体材料要求采用聚合碳酸纤维塑料。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val="0"/>
          <w:bCs w:val="0"/>
          <w:sz w:val="24"/>
          <w:szCs w:val="24"/>
          <w:lang w:val="en-US" w:eastAsia="zh-CN"/>
        </w:rPr>
      </w:pPr>
      <w:r>
        <w:rPr>
          <w:rFonts w:hint="eastAsia" w:ascii="宋体" w:hAnsi="宋体"/>
          <w:b w:val="0"/>
          <w:bCs w:val="0"/>
          <w:sz w:val="24"/>
          <w:szCs w:val="24"/>
          <w:lang w:val="en-US" w:eastAsia="zh-CN"/>
        </w:rPr>
        <w:t>6.每一个瓶位要求有独立的检测装置，检测装置的损坏不影响其它瓶位的正常检测工作。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val="0"/>
          <w:bCs w:val="0"/>
          <w:sz w:val="24"/>
          <w:szCs w:val="24"/>
          <w:lang w:val="en-US" w:eastAsia="zh-CN"/>
        </w:rPr>
      </w:pPr>
      <w:r>
        <w:rPr>
          <w:rFonts w:hint="eastAsia" w:ascii="宋体" w:hAnsi="宋体"/>
          <w:b w:val="0"/>
          <w:bCs w:val="0"/>
          <w:sz w:val="24"/>
          <w:szCs w:val="24"/>
          <w:lang w:val="en-US" w:eastAsia="zh-CN"/>
        </w:rPr>
        <w:t>7.培养瓶采用连续振摇方式，有延迟放瓶的功能，且培养中途能拿出培养瓶观察，阴性瓶不需要盲传。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val="0"/>
          <w:bCs w:val="0"/>
          <w:sz w:val="24"/>
          <w:szCs w:val="24"/>
          <w:lang w:val="en-US" w:eastAsia="zh-CN"/>
        </w:rPr>
      </w:pPr>
      <w:r>
        <w:rPr>
          <w:rFonts w:hint="eastAsia" w:ascii="宋体" w:hAnsi="宋体"/>
          <w:b w:val="0"/>
          <w:bCs w:val="0"/>
          <w:sz w:val="24"/>
          <w:szCs w:val="24"/>
          <w:lang w:val="en-US" w:eastAsia="zh-CN"/>
        </w:rPr>
        <w:t>8.培养瓶容量≥220瓶，且可以扩充到≥1000瓶位。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val="0"/>
          <w:bCs w:val="0"/>
          <w:sz w:val="24"/>
          <w:szCs w:val="24"/>
          <w:lang w:val="en-US" w:eastAsia="zh-CN"/>
        </w:rPr>
      </w:pPr>
      <w:r>
        <w:rPr>
          <w:rFonts w:hint="eastAsia" w:ascii="宋体" w:hAnsi="宋体"/>
          <w:b w:val="0"/>
          <w:bCs w:val="0"/>
          <w:sz w:val="24"/>
          <w:szCs w:val="24"/>
          <w:lang w:val="en-US" w:eastAsia="zh-CN"/>
        </w:rPr>
        <w:t>9.仪器必须能同时培养普通细菌、结核分枝杆菌及无菌体液的培养。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10.二氧化碳培养箱3套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cs="宋体"/>
          <w:color w:val="000000"/>
          <w:kern w:val="0"/>
          <w:sz w:val="24"/>
          <w:szCs w:val="24"/>
          <w:lang w:val="en-US" w:eastAsia="zh-CN"/>
        </w:rPr>
        <w:t>￠</w:t>
      </w:r>
      <w:r>
        <w:rPr>
          <w:rFonts w:hint="eastAsia" w:ascii="宋体" w:hAnsi="宋体"/>
          <w:sz w:val="24"/>
          <w:szCs w:val="24"/>
          <w:lang w:val="en-US" w:eastAsia="zh-CN"/>
        </w:rPr>
        <w:t>10.1 iCAN （互动式控制接入巡航器）触摸屏，彩色显示，可作图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10.2电抛光不锈钢内胆，内部体积≥240L</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10.3 3块不锈钢搁板</w:t>
      </w:r>
      <w:r>
        <w:rPr>
          <w:rFonts w:hint="eastAsia" w:ascii="宋体" w:hAnsi="宋体"/>
          <w:sz w:val="24"/>
          <w:szCs w:val="24"/>
          <w:lang w:val="en-US" w:eastAsia="zh-CN"/>
        </w:rPr>
        <w:br w:type="textWrapping"/>
      </w:r>
      <w:r>
        <w:rPr>
          <w:rFonts w:hint="eastAsia" w:ascii="宋体" w:hAnsi="宋体" w:cs="宋体"/>
          <w:color w:val="000000"/>
          <w:kern w:val="0"/>
          <w:sz w:val="24"/>
          <w:szCs w:val="24"/>
          <w:lang w:val="en-US" w:eastAsia="zh-CN"/>
        </w:rPr>
        <w:t>￠</w:t>
      </w:r>
      <w:r>
        <w:rPr>
          <w:rFonts w:hint="eastAsia" w:ascii="宋体" w:hAnsi="宋体"/>
          <w:sz w:val="24"/>
          <w:szCs w:val="24"/>
          <w:lang w:val="en-US" w:eastAsia="zh-CN"/>
        </w:rPr>
        <w:t>10.4具有CONTRACON 90℃湿热灭菌功能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 xml:space="preserve">★10.5温度 ：气套温度控制  </w:t>
      </w:r>
      <w:r>
        <w:rPr>
          <w:rFonts w:hint="eastAsia" w:ascii="宋体" w:hAnsi="宋体"/>
          <w:sz w:val="24"/>
          <w:szCs w:val="24"/>
          <w:lang w:val="en-US" w:eastAsia="zh-CN"/>
        </w:rPr>
        <w:br w:type="textWrapping"/>
      </w:r>
      <w:r>
        <w:rPr>
          <w:rFonts w:hint="eastAsia" w:ascii="宋体" w:hAnsi="宋体"/>
          <w:sz w:val="24"/>
          <w:szCs w:val="24"/>
          <w:lang w:val="en-US" w:eastAsia="zh-CN"/>
        </w:rPr>
        <w:t xml:space="preserve">10.6温度控制范围室温:+3 ℃-55 ℃ </w:t>
      </w:r>
      <w:r>
        <w:rPr>
          <w:rFonts w:hint="eastAsia" w:ascii="宋体" w:hAnsi="宋体"/>
          <w:sz w:val="24"/>
          <w:szCs w:val="24"/>
          <w:lang w:val="en-US" w:eastAsia="zh-CN"/>
        </w:rPr>
        <w:br w:type="textWrapping"/>
      </w:r>
      <w:r>
        <w:rPr>
          <w:rFonts w:hint="eastAsia" w:ascii="宋体" w:hAnsi="宋体"/>
          <w:sz w:val="24"/>
          <w:szCs w:val="24"/>
          <w:lang w:val="en-US" w:eastAsia="zh-CN"/>
        </w:rPr>
        <w:t xml:space="preserve">10.7温度控制精度(时间/空间):±0.1 K /±0.5 K  </w:t>
      </w:r>
      <w:r>
        <w:rPr>
          <w:rFonts w:hint="eastAsia" w:ascii="宋体" w:hAnsi="宋体"/>
          <w:sz w:val="24"/>
          <w:szCs w:val="24"/>
          <w:lang w:val="en-US" w:eastAsia="zh-CN"/>
        </w:rPr>
        <w:br w:type="textWrapping"/>
      </w:r>
      <w:r>
        <w:rPr>
          <w:rFonts w:hint="eastAsia" w:ascii="宋体" w:hAnsi="宋体"/>
          <w:sz w:val="24"/>
          <w:szCs w:val="24"/>
          <w:lang w:val="en-US" w:eastAsia="zh-CN"/>
        </w:rPr>
        <w:t>10.8室温范围:+18℃-33℃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10.9保温层材料：矿物羊毛脂纤维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cs="宋体"/>
          <w:color w:val="000000"/>
          <w:kern w:val="0"/>
          <w:sz w:val="24"/>
          <w:szCs w:val="24"/>
          <w:lang w:val="en-US" w:eastAsia="zh-CN"/>
        </w:rPr>
        <w:t>￠</w:t>
      </w:r>
      <w:r>
        <w:rPr>
          <w:rFonts w:hint="eastAsia" w:ascii="宋体" w:hAnsi="宋体"/>
          <w:sz w:val="24"/>
          <w:szCs w:val="24"/>
          <w:lang w:val="en-US" w:eastAsia="zh-CN"/>
        </w:rPr>
        <w:t>10.10湿度控制系统：内腔底部为水库，带温度加热功能和水位传感器，可以增加湿度恢复速度，水位过低可以报警。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10.11箱体内相对湿度(%rH)：≥95%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10.12 CO2控制系统：CO2浓度校准自动归零系统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10.13 CO2测量和控制范围（体积百分比）：0-20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10.14 控制精度（体积百分比）：±0.1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10.15输入压力：0.8-1Bar</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10.16热传导（TC）传感器二氧化碳培养箱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lang w:val="en-US" w:eastAsia="zh-CN"/>
        </w:rPr>
      </w:pPr>
      <w:r>
        <w:rPr>
          <w:rFonts w:hint="eastAsia" w:ascii="宋体" w:hAnsi="宋体"/>
          <w:sz w:val="24"/>
          <w:szCs w:val="24"/>
          <w:lang w:val="en-US" w:eastAsia="zh-CN"/>
        </w:rPr>
        <w:t>10.17配置（原装）：主机3台，载物托架9个。</w:t>
      </w:r>
    </w:p>
    <w:p>
      <w:pPr>
        <w:keepNext w:val="0"/>
        <w:keepLines w:val="0"/>
        <w:pageBreakBefore w:val="0"/>
        <w:numPr>
          <w:ilvl w:val="0"/>
          <w:numId w:val="1"/>
        </w:numPr>
        <w:kinsoku/>
        <w:wordWrap/>
        <w:overflowPunct/>
        <w:topLinePunct w:val="0"/>
        <w:autoSpaceDE/>
        <w:autoSpaceDN/>
        <w:bidi w:val="0"/>
        <w:adjustRightInd/>
        <w:snapToGrid/>
        <w:spacing w:line="360" w:lineRule="auto"/>
        <w:textAlignment w:val="auto"/>
        <w:rPr>
          <w:rFonts w:hint="eastAsia" w:ascii="宋体"/>
          <w:sz w:val="24"/>
          <w:szCs w:val="24"/>
          <w:lang w:val="en-US" w:eastAsia="zh-CN"/>
        </w:rPr>
      </w:pPr>
      <w:r>
        <w:rPr>
          <w:rFonts w:hint="eastAsia" w:ascii="宋体"/>
          <w:sz w:val="24"/>
          <w:szCs w:val="24"/>
          <w:lang w:val="en-US" w:eastAsia="zh-CN"/>
        </w:rPr>
        <w:t>水浴箱1套</w:t>
      </w:r>
    </w:p>
    <w:p>
      <w:pPr>
        <w:keepNext w:val="0"/>
        <w:keepLines w:val="0"/>
        <w:pageBreakBefore w:val="0"/>
        <w:kinsoku/>
        <w:wordWrap/>
        <w:overflowPunct/>
        <w:topLinePunct w:val="0"/>
        <w:autoSpaceDE/>
        <w:autoSpaceDN/>
        <w:bidi w:val="0"/>
        <w:adjustRightInd/>
        <w:snapToGrid/>
        <w:spacing w:beforeLines="20" w:afterLines="20" w:line="360" w:lineRule="auto"/>
        <w:textAlignment w:val="auto"/>
        <w:rPr>
          <w:rFonts w:ascii="宋体" w:cs="宋体"/>
          <w:sz w:val="24"/>
          <w:szCs w:val="24"/>
        </w:rPr>
      </w:pPr>
      <w:r>
        <w:rPr>
          <w:rFonts w:hint="eastAsia" w:ascii="宋体" w:hAnsi="宋体" w:cs="宋体"/>
          <w:color w:val="000000"/>
          <w:kern w:val="0"/>
          <w:sz w:val="24"/>
          <w:szCs w:val="24"/>
          <w:lang w:val="en-US" w:eastAsia="zh-CN"/>
        </w:rPr>
        <w:t>11.1</w:t>
      </w:r>
      <w:r>
        <w:rPr>
          <w:rFonts w:hint="eastAsia" w:ascii="宋体" w:hAnsi="宋体" w:cs="宋体"/>
          <w:color w:val="000000"/>
          <w:kern w:val="0"/>
          <w:sz w:val="24"/>
          <w:szCs w:val="24"/>
        </w:rPr>
        <w:t>微电脑智能控温仪显示设定温度和实际温度。</w:t>
      </w:r>
    </w:p>
    <w:p>
      <w:pPr>
        <w:keepNext w:val="0"/>
        <w:keepLines w:val="0"/>
        <w:pageBreakBefore w:val="0"/>
        <w:kinsoku/>
        <w:wordWrap/>
        <w:overflowPunct/>
        <w:topLinePunct w:val="0"/>
        <w:autoSpaceDE/>
        <w:autoSpaceDN/>
        <w:bidi w:val="0"/>
        <w:adjustRightInd/>
        <w:snapToGrid/>
        <w:spacing w:beforeLines="20" w:afterLines="20" w:line="360" w:lineRule="auto"/>
        <w:textAlignment w:val="auto"/>
        <w:rPr>
          <w:rFonts w:ascii="宋体" w:cs="宋体"/>
          <w:sz w:val="24"/>
          <w:szCs w:val="24"/>
        </w:rPr>
      </w:pPr>
      <w:r>
        <w:rPr>
          <w:rFonts w:hint="eastAsia" w:ascii="宋体" w:hAnsi="宋体" w:cs="宋体"/>
          <w:color w:val="000000"/>
          <w:kern w:val="0"/>
          <w:sz w:val="24"/>
          <w:szCs w:val="24"/>
          <w:lang w:val="en-US" w:eastAsia="zh-CN"/>
        </w:rPr>
        <w:t>11.2</w:t>
      </w:r>
      <w:r>
        <w:rPr>
          <w:rFonts w:hint="eastAsia" w:ascii="宋体" w:hAnsi="宋体" w:cs="宋体"/>
          <w:color w:val="000000"/>
          <w:kern w:val="0"/>
          <w:sz w:val="24"/>
          <w:szCs w:val="24"/>
        </w:rPr>
        <w:t>温度使用范围：涵盖</w:t>
      </w:r>
      <w:r>
        <w:rPr>
          <w:rFonts w:ascii="宋体" w:hAnsi="宋体" w:cs="宋体"/>
          <w:color w:val="000000"/>
          <w:kern w:val="0"/>
          <w:sz w:val="24"/>
          <w:szCs w:val="24"/>
        </w:rPr>
        <w:t>+5</w:t>
      </w:r>
      <w:r>
        <w:rPr>
          <w:rFonts w:hint="eastAsia" w:ascii="宋体" w:hAnsi="宋体" w:cs="宋体"/>
          <w:color w:val="000000"/>
          <w:kern w:val="0"/>
          <w:sz w:val="24"/>
          <w:szCs w:val="24"/>
        </w:rPr>
        <w:t>℃</w:t>
      </w:r>
      <w:r>
        <w:rPr>
          <w:rFonts w:ascii="宋体" w:hAnsi="宋体" w:cs="宋体"/>
          <w:color w:val="000000"/>
          <w:kern w:val="0"/>
          <w:sz w:val="24"/>
          <w:szCs w:val="24"/>
        </w:rPr>
        <w:t>-65</w:t>
      </w:r>
      <w:r>
        <w:rPr>
          <w:rFonts w:hint="eastAsia" w:ascii="宋体" w:hAnsi="宋体" w:cs="宋体"/>
          <w:color w:val="000000"/>
          <w:kern w:val="0"/>
          <w:sz w:val="24"/>
          <w:szCs w:val="24"/>
        </w:rPr>
        <w:t>℃。</w:t>
      </w:r>
    </w:p>
    <w:p>
      <w:pPr>
        <w:keepNext w:val="0"/>
        <w:keepLines w:val="0"/>
        <w:pageBreakBefore w:val="0"/>
        <w:kinsoku/>
        <w:wordWrap/>
        <w:overflowPunct/>
        <w:topLinePunct w:val="0"/>
        <w:autoSpaceDE/>
        <w:autoSpaceDN/>
        <w:bidi w:val="0"/>
        <w:adjustRightInd/>
        <w:snapToGrid/>
        <w:spacing w:beforeLines="20" w:afterLines="20" w:line="360" w:lineRule="auto"/>
        <w:textAlignment w:val="auto"/>
        <w:rPr>
          <w:rFonts w:ascii="宋体" w:cs="宋体"/>
          <w:sz w:val="24"/>
          <w:szCs w:val="24"/>
        </w:rPr>
      </w:pPr>
      <w:r>
        <w:rPr>
          <w:rFonts w:hint="eastAsia" w:ascii="宋体" w:hAnsi="宋体" w:cs="宋体"/>
          <w:color w:val="000000"/>
          <w:kern w:val="0"/>
          <w:sz w:val="24"/>
          <w:szCs w:val="24"/>
          <w:lang w:val="en-US" w:eastAsia="zh-CN"/>
        </w:rPr>
        <w:t>11.3</w:t>
      </w:r>
      <w:r>
        <w:rPr>
          <w:rFonts w:hint="eastAsia" w:ascii="宋体" w:hAnsi="宋体" w:cs="宋体"/>
          <w:color w:val="000000"/>
          <w:kern w:val="0"/>
          <w:sz w:val="24"/>
          <w:szCs w:val="24"/>
        </w:rPr>
        <w:t>温度波动性：±</w:t>
      </w:r>
      <w:r>
        <w:rPr>
          <w:rFonts w:ascii="宋体" w:hAnsi="宋体" w:cs="宋体"/>
          <w:color w:val="000000"/>
          <w:kern w:val="0"/>
          <w:sz w:val="24"/>
          <w:szCs w:val="24"/>
        </w:rPr>
        <w:t>0.5</w:t>
      </w:r>
      <w:r>
        <w:rPr>
          <w:rFonts w:hint="eastAsia" w:ascii="宋体" w:hAnsi="宋体" w:cs="宋体"/>
          <w:color w:val="000000"/>
          <w:kern w:val="0"/>
          <w:sz w:val="24"/>
          <w:szCs w:val="24"/>
        </w:rPr>
        <w:t>℃。</w:t>
      </w:r>
    </w:p>
    <w:p>
      <w:pPr>
        <w:keepNext w:val="0"/>
        <w:keepLines w:val="0"/>
        <w:pageBreakBefore w:val="0"/>
        <w:kinsoku/>
        <w:wordWrap/>
        <w:overflowPunct/>
        <w:topLinePunct w:val="0"/>
        <w:autoSpaceDE/>
        <w:autoSpaceDN/>
        <w:bidi w:val="0"/>
        <w:adjustRightInd/>
        <w:snapToGrid/>
        <w:spacing w:beforeLines="20" w:afterLines="20" w:line="360" w:lineRule="auto"/>
        <w:textAlignment w:val="auto"/>
        <w:rPr>
          <w:rFonts w:ascii="宋体" w:cs="宋体"/>
          <w:sz w:val="24"/>
          <w:szCs w:val="24"/>
        </w:rPr>
      </w:pPr>
      <w:r>
        <w:rPr>
          <w:rFonts w:hint="eastAsia" w:ascii="宋体" w:hAnsi="宋体" w:cs="宋体"/>
          <w:color w:val="000000"/>
          <w:kern w:val="0"/>
          <w:sz w:val="24"/>
          <w:szCs w:val="24"/>
          <w:lang w:val="en-US" w:eastAsia="zh-CN"/>
        </w:rPr>
        <w:t>11.4</w:t>
      </w:r>
      <w:r>
        <w:rPr>
          <w:rFonts w:hint="eastAsia" w:ascii="宋体" w:hAnsi="宋体" w:cs="宋体"/>
          <w:color w:val="000000"/>
          <w:kern w:val="0"/>
          <w:sz w:val="24"/>
          <w:szCs w:val="24"/>
        </w:rPr>
        <w:t>温度均匀性：±</w:t>
      </w:r>
      <w:r>
        <w:rPr>
          <w:rFonts w:ascii="宋体" w:hAnsi="宋体" w:cs="宋体"/>
          <w:color w:val="000000"/>
          <w:kern w:val="0"/>
          <w:sz w:val="24"/>
          <w:szCs w:val="24"/>
        </w:rPr>
        <w:t>0.5</w:t>
      </w:r>
      <w:r>
        <w:rPr>
          <w:rFonts w:hint="eastAsia" w:ascii="宋体" w:hAnsi="宋体" w:cs="宋体"/>
          <w:color w:val="000000"/>
          <w:kern w:val="0"/>
          <w:sz w:val="24"/>
          <w:szCs w:val="24"/>
        </w:rPr>
        <w:t>℃。</w:t>
      </w:r>
    </w:p>
    <w:p>
      <w:pPr>
        <w:keepNext w:val="0"/>
        <w:keepLines w:val="0"/>
        <w:pageBreakBefore w:val="0"/>
        <w:kinsoku/>
        <w:wordWrap/>
        <w:overflowPunct/>
        <w:topLinePunct w:val="0"/>
        <w:autoSpaceDE/>
        <w:autoSpaceDN/>
        <w:bidi w:val="0"/>
        <w:adjustRightInd/>
        <w:snapToGrid/>
        <w:spacing w:beforeLines="20" w:afterLines="20" w:line="360" w:lineRule="auto"/>
        <w:textAlignment w:val="auto"/>
        <w:rPr>
          <w:rFonts w:ascii="宋体" w:cs="宋体"/>
          <w:sz w:val="24"/>
          <w:szCs w:val="24"/>
        </w:rPr>
      </w:pPr>
      <w:r>
        <w:rPr>
          <w:rFonts w:hint="eastAsia" w:ascii="宋体" w:hAnsi="宋体" w:cs="宋体"/>
          <w:color w:val="000000"/>
          <w:kern w:val="0"/>
          <w:sz w:val="24"/>
          <w:szCs w:val="24"/>
          <w:lang w:val="en-US" w:eastAsia="zh-CN"/>
        </w:rPr>
        <w:t>11.5</w:t>
      </w:r>
      <w:r>
        <w:rPr>
          <w:rFonts w:hint="eastAsia" w:ascii="宋体" w:hAnsi="宋体" w:cs="宋体"/>
          <w:color w:val="000000"/>
          <w:kern w:val="0"/>
          <w:sz w:val="24"/>
          <w:szCs w:val="24"/>
        </w:rPr>
        <w:t>电源：</w:t>
      </w:r>
      <w:r>
        <w:rPr>
          <w:rFonts w:ascii="宋体" w:hAnsi="宋体" w:cs="宋体"/>
          <w:color w:val="000000"/>
          <w:kern w:val="0"/>
          <w:sz w:val="24"/>
          <w:szCs w:val="24"/>
        </w:rPr>
        <w:t>220V/50HZ</w:t>
      </w:r>
      <w:r>
        <w:rPr>
          <w:rFonts w:hint="eastAsia" w:ascii="宋体" w:hAnsi="宋体" w:cs="宋体"/>
          <w:color w:val="000000"/>
          <w:kern w:val="0"/>
          <w:sz w:val="24"/>
          <w:szCs w:val="24"/>
        </w:rPr>
        <w:t>。</w:t>
      </w:r>
    </w:p>
    <w:p>
      <w:pPr>
        <w:keepNext w:val="0"/>
        <w:keepLines w:val="0"/>
        <w:pageBreakBefore w:val="0"/>
        <w:kinsoku/>
        <w:wordWrap/>
        <w:overflowPunct/>
        <w:topLinePunct w:val="0"/>
        <w:autoSpaceDE/>
        <w:autoSpaceDN/>
        <w:bidi w:val="0"/>
        <w:adjustRightInd/>
        <w:snapToGrid/>
        <w:spacing w:beforeLines="20" w:afterLines="20" w:line="360" w:lineRule="auto"/>
        <w:textAlignment w:val="auto"/>
        <w:rPr>
          <w:rFonts w:ascii="宋体" w:cs="宋体"/>
          <w:sz w:val="24"/>
          <w:szCs w:val="24"/>
        </w:rPr>
      </w:pPr>
      <w:r>
        <w:rPr>
          <w:rFonts w:hint="eastAsia" w:ascii="宋体" w:hAnsi="宋体" w:cs="宋体"/>
          <w:color w:val="000000"/>
          <w:kern w:val="0"/>
          <w:sz w:val="24"/>
          <w:szCs w:val="24"/>
          <w:lang w:val="en-US" w:eastAsia="zh-CN"/>
        </w:rPr>
        <w:t>11.6</w:t>
      </w:r>
      <w:r>
        <w:rPr>
          <w:rFonts w:hint="eastAsia" w:ascii="宋体" w:hAnsi="宋体" w:cs="宋体"/>
          <w:color w:val="000000"/>
          <w:kern w:val="0"/>
          <w:sz w:val="24"/>
          <w:szCs w:val="24"/>
        </w:rPr>
        <w:t>额定功率：</w:t>
      </w:r>
      <w:r>
        <w:rPr>
          <w:rFonts w:ascii="宋体" w:hAnsi="宋体" w:cs="宋体"/>
          <w:color w:val="000000"/>
          <w:kern w:val="0"/>
          <w:sz w:val="24"/>
          <w:szCs w:val="24"/>
        </w:rPr>
        <w:t>500W</w:t>
      </w:r>
      <w:r>
        <w:rPr>
          <w:rFonts w:hint="eastAsia" w:ascii="宋体" w:hAnsi="宋体" w:cs="宋体"/>
          <w:color w:val="000000"/>
          <w:kern w:val="0"/>
          <w:sz w:val="24"/>
          <w:szCs w:val="24"/>
        </w:rPr>
        <w:t>±</w:t>
      </w:r>
      <w:r>
        <w:rPr>
          <w:rFonts w:ascii="宋体" w:hAnsi="宋体" w:cs="宋体"/>
          <w:color w:val="000000"/>
          <w:kern w:val="0"/>
          <w:sz w:val="24"/>
          <w:szCs w:val="24"/>
        </w:rPr>
        <w:t>10%</w:t>
      </w:r>
      <w:r>
        <w:rPr>
          <w:rFonts w:hint="eastAsia" w:ascii="宋体" w:hAnsi="宋体" w:cs="宋体"/>
          <w:color w:val="000000"/>
          <w:kern w:val="0"/>
          <w:sz w:val="24"/>
          <w:szCs w:val="24"/>
        </w:rPr>
        <w:t>。</w:t>
      </w:r>
    </w:p>
    <w:p>
      <w:pPr>
        <w:keepNext w:val="0"/>
        <w:keepLines w:val="0"/>
        <w:pageBreakBefore w:val="0"/>
        <w:kinsoku/>
        <w:wordWrap/>
        <w:overflowPunct/>
        <w:topLinePunct w:val="0"/>
        <w:autoSpaceDE/>
        <w:autoSpaceDN/>
        <w:bidi w:val="0"/>
        <w:adjustRightInd/>
        <w:snapToGrid/>
        <w:spacing w:beforeLines="20" w:afterLines="20" w:line="360" w:lineRule="auto"/>
        <w:textAlignment w:val="auto"/>
        <w:rPr>
          <w:rFonts w:hint="eastAsia" w:ascii="宋体"/>
          <w:sz w:val="24"/>
          <w:szCs w:val="24"/>
          <w:lang w:val="en-US" w:eastAsia="zh-CN"/>
        </w:rPr>
      </w:pPr>
      <w:r>
        <w:rPr>
          <w:rFonts w:hint="eastAsia" w:ascii="宋体" w:hAnsi="宋体" w:cs="宋体"/>
          <w:color w:val="000000"/>
          <w:kern w:val="0"/>
          <w:sz w:val="24"/>
          <w:szCs w:val="24"/>
          <w:lang w:val="en-US" w:eastAsia="zh-CN"/>
        </w:rPr>
        <w:t>11.7</w:t>
      </w:r>
      <w:r>
        <w:rPr>
          <w:rFonts w:hint="eastAsia" w:ascii="宋体" w:hAnsi="宋体" w:cs="宋体"/>
          <w:color w:val="000000"/>
          <w:kern w:val="0"/>
          <w:sz w:val="24"/>
          <w:szCs w:val="24"/>
        </w:rPr>
        <w:t>工作室尺寸：</w:t>
      </w:r>
      <w:r>
        <w:rPr>
          <w:rFonts w:ascii="宋体" w:hAnsi="宋体" w:cs="宋体"/>
          <w:color w:val="000000"/>
          <w:kern w:val="0"/>
          <w:sz w:val="24"/>
          <w:szCs w:val="24"/>
        </w:rPr>
        <w:t>60</w:t>
      </w:r>
      <w:r>
        <w:rPr>
          <w:rFonts w:hint="eastAsia" w:ascii="宋体" w:hAnsi="宋体" w:cs="宋体"/>
          <w:color w:val="000000"/>
          <w:kern w:val="0"/>
          <w:sz w:val="24"/>
          <w:szCs w:val="24"/>
        </w:rPr>
        <w:t>×</w:t>
      </w:r>
      <w:r>
        <w:rPr>
          <w:rFonts w:ascii="宋体" w:hAnsi="宋体" w:cs="宋体"/>
          <w:color w:val="000000"/>
          <w:kern w:val="0"/>
          <w:sz w:val="24"/>
          <w:szCs w:val="24"/>
        </w:rPr>
        <w:t>30</w:t>
      </w:r>
      <w:r>
        <w:rPr>
          <w:rFonts w:hint="eastAsia" w:ascii="宋体" w:hAnsi="宋体" w:cs="宋体"/>
          <w:color w:val="000000"/>
          <w:kern w:val="0"/>
          <w:sz w:val="24"/>
          <w:szCs w:val="24"/>
        </w:rPr>
        <w:t>×</w:t>
      </w:r>
      <w:r>
        <w:rPr>
          <w:rFonts w:ascii="宋体" w:hAnsi="宋体" w:cs="宋体"/>
          <w:color w:val="000000"/>
          <w:kern w:val="0"/>
          <w:sz w:val="24"/>
          <w:szCs w:val="24"/>
        </w:rPr>
        <w:t>15cm</w:t>
      </w:r>
      <w:r>
        <w:rPr>
          <w:rFonts w:hint="eastAsia" w:ascii="宋体" w:hAnsi="宋体" w:cs="宋体"/>
          <w:color w:val="000000"/>
          <w:kern w:val="0"/>
          <w:sz w:val="24"/>
          <w:szCs w:val="24"/>
        </w:rPr>
        <w:t>左右。</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lang w:eastAsia="zh-CN"/>
        </w:rPr>
      </w:pPr>
      <w:r>
        <w:rPr>
          <w:rFonts w:hint="eastAsia" w:ascii="宋体" w:hAnsi="宋体" w:cs="宋体"/>
          <w:b/>
          <w:sz w:val="24"/>
          <w:lang w:eastAsia="zh-CN"/>
        </w:rPr>
        <w:t>（四）</w:t>
      </w:r>
      <w:r>
        <w:rPr>
          <w:rFonts w:hint="eastAsia" w:ascii="宋体" w:hAnsi="宋体" w:cs="宋体"/>
          <w:b/>
          <w:sz w:val="24"/>
        </w:rPr>
        <w:t>普通PCR仪1</w:t>
      </w:r>
      <w:r>
        <w:rPr>
          <w:rFonts w:hint="eastAsia" w:ascii="宋体" w:hAnsi="宋体" w:cs="宋体"/>
          <w:b/>
          <w:sz w:val="24"/>
          <w:lang w:eastAsia="zh-CN"/>
        </w:rPr>
        <w:t>套</w:t>
      </w:r>
    </w:p>
    <w:p>
      <w:pPr>
        <w:keepNext w:val="0"/>
        <w:keepLines w:val="0"/>
        <w:pageBreakBefore w:val="0"/>
        <w:kinsoku/>
        <w:wordWrap/>
        <w:overflowPunct/>
        <w:topLinePunct w:val="0"/>
        <w:autoSpaceDE/>
        <w:autoSpaceDN/>
        <w:bidi w:val="0"/>
        <w:adjustRightInd/>
        <w:snapToGrid/>
        <w:spacing w:beforeLines="20" w:afterLines="20" w:line="360" w:lineRule="auto"/>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1.样品基座：0.2ml×96孔；</w:t>
      </w:r>
    </w:p>
    <w:p>
      <w:pPr>
        <w:keepNext w:val="0"/>
        <w:keepLines w:val="0"/>
        <w:pageBreakBefore w:val="0"/>
        <w:kinsoku/>
        <w:wordWrap/>
        <w:overflowPunct/>
        <w:topLinePunct w:val="0"/>
        <w:autoSpaceDE/>
        <w:autoSpaceDN/>
        <w:bidi w:val="0"/>
        <w:adjustRightInd/>
        <w:snapToGrid/>
        <w:spacing w:beforeLines="20" w:afterLines="20" w:line="360" w:lineRule="auto"/>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2.温度范围：4.0～99.9℃；</w:t>
      </w:r>
      <w:r>
        <w:rPr>
          <w:rFonts w:hint="eastAsia" w:ascii="宋体" w:hAnsi="宋体" w:cs="宋体"/>
          <w:color w:val="000000"/>
          <w:kern w:val="0"/>
          <w:sz w:val="24"/>
          <w:szCs w:val="24"/>
          <w:lang w:val="en-US" w:eastAsia="zh-CN"/>
        </w:rPr>
        <w:br w:type="textWrapping"/>
      </w:r>
      <w:r>
        <w:rPr>
          <w:rFonts w:hint="eastAsia" w:ascii="宋体" w:hAnsi="宋体" w:cs="宋体"/>
          <w:color w:val="000000"/>
          <w:kern w:val="0"/>
          <w:sz w:val="24"/>
          <w:szCs w:val="24"/>
          <w:lang w:val="en-US" w:eastAsia="zh-CN"/>
        </w:rPr>
        <w:t>￠3.温度显示精度：0.1℃，计算机计算不同样品体积的实际样品温度，PCR仪直接控制样品实际温度；</w:t>
      </w:r>
    </w:p>
    <w:p>
      <w:pPr>
        <w:keepNext w:val="0"/>
        <w:keepLines w:val="0"/>
        <w:pageBreakBefore w:val="0"/>
        <w:kinsoku/>
        <w:wordWrap/>
        <w:overflowPunct/>
        <w:topLinePunct w:val="0"/>
        <w:autoSpaceDE/>
        <w:autoSpaceDN/>
        <w:bidi w:val="0"/>
        <w:adjustRightInd/>
        <w:snapToGrid/>
        <w:spacing w:beforeLines="20" w:afterLines="20" w:line="360" w:lineRule="auto"/>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4.模块降升温速度：95～55℃温度范围内样品基座平均升温速度≥3.9℃/S；</w:t>
      </w:r>
    </w:p>
    <w:p>
      <w:pPr>
        <w:keepNext w:val="0"/>
        <w:keepLines w:val="0"/>
        <w:pageBreakBefore w:val="0"/>
        <w:kinsoku/>
        <w:wordWrap/>
        <w:overflowPunct/>
        <w:topLinePunct w:val="0"/>
        <w:autoSpaceDE/>
        <w:autoSpaceDN/>
        <w:bidi w:val="0"/>
        <w:adjustRightInd/>
        <w:snapToGrid/>
        <w:spacing w:beforeLines="20" w:afterLines="20" w:line="360" w:lineRule="auto"/>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5.静态样本基座温度均匀性：≤±0.5℃；温度准确性：±0.25℃；</w:t>
      </w:r>
    </w:p>
    <w:p>
      <w:pPr>
        <w:keepNext w:val="0"/>
        <w:keepLines w:val="0"/>
        <w:pageBreakBefore w:val="0"/>
        <w:kinsoku/>
        <w:wordWrap/>
        <w:overflowPunct/>
        <w:topLinePunct w:val="0"/>
        <w:autoSpaceDE/>
        <w:autoSpaceDN/>
        <w:bidi w:val="0"/>
        <w:adjustRightInd/>
        <w:snapToGrid/>
        <w:spacing w:beforeLines="20" w:afterLines="20" w:line="360" w:lineRule="auto"/>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￠6.采用6组VeriFlex™反应模块，每组模块可以独立控温，相邻两个模块的最大设置温差达5℃；每组VeriFlex™反应模块可以独立完成16个PCR反应，一次PCR中使用6对不同引物（分别在6个Blocks上）；</w:t>
      </w:r>
    </w:p>
    <w:p>
      <w:pPr>
        <w:keepNext w:val="0"/>
        <w:keepLines w:val="0"/>
        <w:pageBreakBefore w:val="0"/>
        <w:kinsoku/>
        <w:wordWrap/>
        <w:overflowPunct/>
        <w:topLinePunct w:val="0"/>
        <w:autoSpaceDE/>
        <w:autoSpaceDN/>
        <w:bidi w:val="0"/>
        <w:adjustRightInd/>
        <w:snapToGrid/>
        <w:spacing w:beforeLines="20" w:afterLines="20" w:line="360" w:lineRule="auto"/>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7.显示屏：6.5英寸VGA触摸式显示屏，大的导航按钮设置参数简单方便，无须使用触摸屏专用笔或鼠标；</w:t>
      </w:r>
    </w:p>
    <w:p>
      <w:pPr>
        <w:keepNext w:val="0"/>
        <w:keepLines w:val="0"/>
        <w:pageBreakBefore w:val="0"/>
        <w:kinsoku/>
        <w:wordWrap/>
        <w:overflowPunct/>
        <w:topLinePunct w:val="0"/>
        <w:autoSpaceDE/>
        <w:autoSpaceDN/>
        <w:bidi w:val="0"/>
        <w:adjustRightInd/>
        <w:snapToGrid/>
        <w:spacing w:beforeLines="20" w:afterLines="20" w:line="360" w:lineRule="auto"/>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 xml:space="preserve">8.具有USB记忆棒插槽，用于转移程序，存储不限数量的程序；  </w:t>
      </w:r>
    </w:p>
    <w:p>
      <w:pPr>
        <w:keepNext w:val="0"/>
        <w:keepLines w:val="0"/>
        <w:pageBreakBefore w:val="0"/>
        <w:kinsoku/>
        <w:wordWrap/>
        <w:overflowPunct/>
        <w:topLinePunct w:val="0"/>
        <w:autoSpaceDE/>
        <w:autoSpaceDN/>
        <w:bidi w:val="0"/>
        <w:adjustRightInd/>
        <w:snapToGrid/>
        <w:spacing w:beforeLines="20" w:afterLines="20" w:line="360" w:lineRule="auto"/>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￠9.以太网联结，可使用软件可以联结11台此类PCR仪；</w:t>
      </w:r>
    </w:p>
    <w:p>
      <w:pPr>
        <w:keepNext w:val="0"/>
        <w:keepLines w:val="0"/>
        <w:pageBreakBefore w:val="0"/>
        <w:kinsoku/>
        <w:wordWrap/>
        <w:overflowPunct/>
        <w:topLinePunct w:val="0"/>
        <w:autoSpaceDE/>
        <w:autoSpaceDN/>
        <w:bidi w:val="0"/>
        <w:adjustRightInd/>
        <w:snapToGrid/>
        <w:spacing w:beforeLines="20" w:afterLines="20" w:line="360" w:lineRule="auto"/>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￠10.软件：可执行Touchdown及套式PCR程序，主机自带Tm值计算软件，可自动计算引物解链温度（Tm值），用于帮助用户计算用户所用引物的最佳退火温度。</w:t>
      </w:r>
    </w:p>
    <w:p>
      <w:pPr>
        <w:keepNext w:val="0"/>
        <w:keepLines w:val="0"/>
        <w:pageBreakBefore w:val="0"/>
        <w:kinsoku/>
        <w:wordWrap/>
        <w:overflowPunct/>
        <w:topLinePunct w:val="0"/>
        <w:autoSpaceDE/>
        <w:autoSpaceDN/>
        <w:bidi w:val="0"/>
        <w:adjustRightInd/>
        <w:snapToGrid/>
        <w:spacing w:beforeLines="20" w:afterLines="20" w:line="360" w:lineRule="auto"/>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11.有多种诊断程序以检测仪器升降温速度和升降温精度。</w:t>
      </w:r>
    </w:p>
    <w:p>
      <w:pPr>
        <w:keepNext w:val="0"/>
        <w:keepLines w:val="0"/>
        <w:pageBreakBefore w:val="0"/>
        <w:kinsoku/>
        <w:wordWrap/>
        <w:overflowPunct/>
        <w:topLinePunct w:val="0"/>
        <w:autoSpaceDE/>
        <w:autoSpaceDN/>
        <w:bidi w:val="0"/>
        <w:adjustRightInd/>
        <w:snapToGrid/>
        <w:spacing w:beforeLines="20" w:afterLines="20" w:line="360" w:lineRule="auto"/>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12.具有断电自动保护功能。自动再启动功能可使断电后恢复供电时PCR程序自动继续执行。</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lang w:eastAsia="zh-CN"/>
        </w:rPr>
      </w:pPr>
      <w:r>
        <w:rPr>
          <w:rFonts w:hint="eastAsia" w:ascii="宋体" w:hAnsi="宋体" w:cs="宋体"/>
          <w:b/>
          <w:sz w:val="24"/>
          <w:lang w:eastAsia="zh-CN"/>
        </w:rPr>
        <w:t>（五）</w:t>
      </w:r>
      <w:r>
        <w:rPr>
          <w:rFonts w:hint="eastAsia" w:ascii="宋体" w:hAnsi="宋体" w:cs="宋体"/>
          <w:b/>
          <w:sz w:val="24"/>
        </w:rPr>
        <w:t>荧光定量PCR仪1</w:t>
      </w:r>
      <w:r>
        <w:rPr>
          <w:rFonts w:hint="eastAsia" w:ascii="宋体" w:hAnsi="宋体" w:cs="宋体"/>
          <w:b/>
          <w:sz w:val="24"/>
          <w:lang w:eastAsia="zh-CN"/>
        </w:rPr>
        <w:t>套</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sz w:val="24"/>
          <w:szCs w:val="24"/>
        </w:rPr>
      </w:pPr>
      <w:r>
        <w:rPr>
          <w:rFonts w:ascii="宋体" w:hAnsi="宋体"/>
          <w:sz w:val="24"/>
          <w:szCs w:val="24"/>
        </w:rPr>
        <w:t>1.</w:t>
      </w:r>
      <w:r>
        <w:rPr>
          <w:rFonts w:hint="eastAsia" w:ascii="宋体" w:hAnsi="宋体"/>
          <w:sz w:val="24"/>
          <w:szCs w:val="24"/>
        </w:rPr>
        <w:t>热循环系统</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sz w:val="24"/>
          <w:szCs w:val="24"/>
        </w:rPr>
      </w:pPr>
      <w:r>
        <w:rPr>
          <w:rFonts w:hint="eastAsia" w:ascii="宋体" w:hAnsi="宋体" w:cs="宋体"/>
          <w:color w:val="000000"/>
          <w:kern w:val="0"/>
          <w:sz w:val="24"/>
          <w:szCs w:val="24"/>
          <w:lang w:val="en-US" w:eastAsia="zh-CN"/>
        </w:rPr>
        <w:t>￠</w:t>
      </w:r>
      <w:r>
        <w:rPr>
          <w:rFonts w:ascii="宋体" w:hAnsi="宋体"/>
          <w:sz w:val="24"/>
          <w:szCs w:val="24"/>
        </w:rPr>
        <w:t>2.</w:t>
      </w:r>
      <w:r>
        <w:rPr>
          <w:rFonts w:hint="eastAsia" w:ascii="宋体" w:hAnsi="宋体"/>
          <w:sz w:val="24"/>
          <w:szCs w:val="24"/>
        </w:rPr>
        <w:t>通道数：</w:t>
      </w:r>
      <w:r>
        <w:rPr>
          <w:rFonts w:ascii="宋体" w:hAnsi="宋体"/>
          <w:sz w:val="24"/>
          <w:szCs w:val="24"/>
        </w:rPr>
        <w:t>6</w:t>
      </w:r>
      <w:r>
        <w:rPr>
          <w:rFonts w:hint="eastAsia" w:ascii="宋体" w:hAnsi="宋体"/>
          <w:sz w:val="24"/>
          <w:szCs w:val="24"/>
        </w:rPr>
        <w:t>色激发光通道和</w:t>
      </w:r>
      <w:r>
        <w:rPr>
          <w:rFonts w:ascii="宋体" w:hAnsi="宋体"/>
          <w:sz w:val="24"/>
          <w:szCs w:val="24"/>
        </w:rPr>
        <w:t>6</w:t>
      </w:r>
      <w:r>
        <w:rPr>
          <w:rFonts w:hint="eastAsia" w:ascii="宋体" w:hAnsi="宋体"/>
          <w:sz w:val="24"/>
          <w:szCs w:val="24"/>
        </w:rPr>
        <w:t>色检测通道可自由组合，检测多达</w:t>
      </w:r>
      <w:r>
        <w:rPr>
          <w:rFonts w:ascii="宋体" w:hAnsi="宋体"/>
          <w:sz w:val="24"/>
          <w:szCs w:val="24"/>
        </w:rPr>
        <w:t>20</w:t>
      </w:r>
      <w:r>
        <w:rPr>
          <w:rFonts w:hint="eastAsia" w:ascii="宋体" w:hAnsi="宋体"/>
          <w:sz w:val="24"/>
          <w:szCs w:val="24"/>
        </w:rPr>
        <w:t>种不同的荧光。</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sz w:val="24"/>
          <w:szCs w:val="24"/>
        </w:rPr>
      </w:pPr>
      <w:r>
        <w:rPr>
          <w:rFonts w:hint="eastAsia" w:ascii="宋体" w:hAnsi="宋体" w:cs="宋体"/>
          <w:color w:val="000000"/>
          <w:kern w:val="0"/>
          <w:sz w:val="24"/>
          <w:szCs w:val="24"/>
          <w:lang w:val="en-US" w:eastAsia="zh-CN"/>
        </w:rPr>
        <w:t>￠</w:t>
      </w:r>
      <w:r>
        <w:rPr>
          <w:rFonts w:ascii="宋体" w:hAnsi="宋体"/>
          <w:sz w:val="24"/>
          <w:szCs w:val="24"/>
        </w:rPr>
        <w:t>3.</w:t>
      </w:r>
      <w:r>
        <w:rPr>
          <w:rFonts w:hint="eastAsia" w:ascii="宋体" w:hAnsi="宋体"/>
          <w:sz w:val="24"/>
          <w:szCs w:val="24"/>
        </w:rPr>
        <w:t>模块规格：支持多种模块</w:t>
      </w:r>
      <w:r>
        <w:rPr>
          <w:rFonts w:ascii="宋体" w:hAnsi="宋体"/>
          <w:sz w:val="24"/>
          <w:szCs w:val="24"/>
        </w:rPr>
        <w:t>——</w:t>
      </w:r>
      <w:r>
        <w:rPr>
          <w:rFonts w:hint="eastAsia" w:ascii="宋体" w:hAnsi="宋体"/>
          <w:sz w:val="24"/>
          <w:szCs w:val="24"/>
        </w:rPr>
        <w:t>标准</w:t>
      </w:r>
      <w:r>
        <w:rPr>
          <w:rFonts w:ascii="宋体" w:hAnsi="宋体"/>
          <w:sz w:val="24"/>
          <w:szCs w:val="24"/>
        </w:rPr>
        <w:t>96</w:t>
      </w:r>
      <w:r>
        <w:rPr>
          <w:rFonts w:hint="eastAsia" w:ascii="宋体" w:hAnsi="宋体"/>
          <w:sz w:val="24"/>
          <w:szCs w:val="24"/>
        </w:rPr>
        <w:t>孔模块、快速</w:t>
      </w:r>
      <w:r>
        <w:rPr>
          <w:rFonts w:ascii="宋体" w:hAnsi="宋体"/>
          <w:sz w:val="24"/>
          <w:szCs w:val="24"/>
        </w:rPr>
        <w:t>96</w:t>
      </w:r>
      <w:r>
        <w:rPr>
          <w:rFonts w:hint="eastAsia" w:ascii="宋体" w:hAnsi="宋体"/>
          <w:sz w:val="24"/>
          <w:szCs w:val="24"/>
        </w:rPr>
        <w:t>孔模块、</w:t>
      </w:r>
      <w:r>
        <w:rPr>
          <w:rFonts w:ascii="宋体" w:hAnsi="宋体"/>
          <w:sz w:val="24"/>
          <w:szCs w:val="24"/>
        </w:rPr>
        <w:t>384</w:t>
      </w:r>
      <w:r>
        <w:rPr>
          <w:rFonts w:hint="eastAsia" w:ascii="宋体" w:hAnsi="宋体"/>
          <w:sz w:val="24"/>
          <w:szCs w:val="24"/>
        </w:rPr>
        <w:t>孔模块和微流体芯片模块。</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sz w:val="24"/>
          <w:szCs w:val="24"/>
        </w:rPr>
      </w:pPr>
      <w:r>
        <w:rPr>
          <w:rFonts w:ascii="宋体" w:hAnsi="宋体"/>
          <w:sz w:val="24"/>
          <w:szCs w:val="24"/>
        </w:rPr>
        <w:t>4.</w:t>
      </w:r>
      <w:r>
        <w:rPr>
          <w:rFonts w:hint="eastAsia" w:ascii="宋体" w:hAnsi="宋体"/>
          <w:sz w:val="24"/>
          <w:szCs w:val="24"/>
        </w:rPr>
        <w:t>反应体积：标准</w:t>
      </w:r>
      <w:r>
        <w:rPr>
          <w:rFonts w:ascii="宋体" w:hAnsi="宋体"/>
          <w:sz w:val="24"/>
          <w:szCs w:val="24"/>
        </w:rPr>
        <w:t>96</w:t>
      </w:r>
      <w:r>
        <w:rPr>
          <w:rFonts w:hint="eastAsia" w:ascii="宋体" w:hAnsi="宋体"/>
          <w:sz w:val="24"/>
          <w:szCs w:val="24"/>
        </w:rPr>
        <w:t>孔模式：≤</w:t>
      </w:r>
      <w:r>
        <w:rPr>
          <w:rFonts w:ascii="宋体" w:hAnsi="宋体"/>
          <w:sz w:val="24"/>
          <w:szCs w:val="24"/>
        </w:rPr>
        <w:t>100</w:t>
      </w:r>
      <w:r>
        <w:rPr>
          <w:rFonts w:hint="eastAsia" w:ascii="宋体" w:hAnsi="宋体"/>
          <w:sz w:val="24"/>
          <w:szCs w:val="24"/>
        </w:rPr>
        <w:t>μ</w:t>
      </w:r>
      <w:r>
        <w:rPr>
          <w:rFonts w:ascii="宋体" w:hAnsi="宋体"/>
          <w:sz w:val="24"/>
          <w:szCs w:val="24"/>
        </w:rPr>
        <w:t>L</w:t>
      </w:r>
      <w:r>
        <w:rPr>
          <w:rFonts w:hint="eastAsia" w:ascii="宋体" w:hAnsi="宋体"/>
          <w:sz w:val="24"/>
          <w:szCs w:val="24"/>
        </w:rPr>
        <w:t>；快速</w:t>
      </w:r>
      <w:r>
        <w:rPr>
          <w:rFonts w:ascii="宋体" w:hAnsi="宋体"/>
          <w:sz w:val="24"/>
          <w:szCs w:val="24"/>
        </w:rPr>
        <w:t>96</w:t>
      </w:r>
      <w:r>
        <w:rPr>
          <w:rFonts w:hint="eastAsia" w:ascii="宋体" w:hAnsi="宋体"/>
          <w:sz w:val="24"/>
          <w:szCs w:val="24"/>
        </w:rPr>
        <w:t>孔模式：≤</w:t>
      </w:r>
      <w:r>
        <w:rPr>
          <w:rFonts w:ascii="宋体" w:hAnsi="宋体"/>
          <w:sz w:val="24"/>
          <w:szCs w:val="24"/>
        </w:rPr>
        <w:t>30</w:t>
      </w:r>
      <w:r>
        <w:rPr>
          <w:rFonts w:hint="eastAsia" w:ascii="宋体" w:hAnsi="宋体"/>
          <w:sz w:val="24"/>
          <w:szCs w:val="24"/>
        </w:rPr>
        <w:t>μ</w:t>
      </w:r>
      <w:r>
        <w:rPr>
          <w:rFonts w:ascii="宋体" w:hAnsi="宋体"/>
          <w:sz w:val="24"/>
          <w:szCs w:val="24"/>
        </w:rPr>
        <w:t>L</w:t>
      </w:r>
      <w:r>
        <w:rPr>
          <w:rFonts w:hint="eastAsia" w:ascii="宋体" w:hAnsi="宋体"/>
          <w:sz w:val="24"/>
          <w:szCs w:val="24"/>
        </w:rPr>
        <w:t>；</w:t>
      </w:r>
      <w:r>
        <w:rPr>
          <w:rFonts w:ascii="宋体" w:hAnsi="宋体"/>
          <w:sz w:val="24"/>
          <w:szCs w:val="24"/>
        </w:rPr>
        <w:t>384</w:t>
      </w:r>
      <w:r>
        <w:rPr>
          <w:rFonts w:hint="eastAsia" w:ascii="宋体" w:hAnsi="宋体"/>
          <w:sz w:val="24"/>
          <w:szCs w:val="24"/>
        </w:rPr>
        <w:t>孔模式：≤</w:t>
      </w:r>
      <w:r>
        <w:rPr>
          <w:rFonts w:ascii="宋体" w:hAnsi="宋体"/>
          <w:sz w:val="24"/>
          <w:szCs w:val="24"/>
        </w:rPr>
        <w:t>20</w:t>
      </w:r>
      <w:r>
        <w:rPr>
          <w:rFonts w:hint="eastAsia" w:ascii="宋体" w:hAnsi="宋体"/>
          <w:sz w:val="24"/>
          <w:szCs w:val="24"/>
        </w:rPr>
        <w:t>μ</w:t>
      </w:r>
      <w:r>
        <w:rPr>
          <w:rFonts w:ascii="宋体" w:hAnsi="宋体"/>
          <w:sz w:val="24"/>
          <w:szCs w:val="24"/>
        </w:rPr>
        <w:t>L</w:t>
      </w:r>
      <w:r>
        <w:rPr>
          <w:rFonts w:hint="eastAsia" w:ascii="宋体" w:hAnsi="宋体"/>
          <w:sz w:val="24"/>
          <w:szCs w:val="24"/>
        </w:rPr>
        <w:t>；微流体芯片模块：</w:t>
      </w:r>
      <w:r>
        <w:rPr>
          <w:rFonts w:ascii="宋体" w:hAnsi="宋体"/>
          <w:sz w:val="24"/>
          <w:szCs w:val="24"/>
        </w:rPr>
        <w:t>1</w:t>
      </w:r>
      <w:r>
        <w:rPr>
          <w:rFonts w:hint="eastAsia" w:ascii="宋体" w:hAnsi="宋体"/>
          <w:sz w:val="24"/>
          <w:szCs w:val="24"/>
        </w:rPr>
        <w:t>μ</w:t>
      </w:r>
      <w:r>
        <w:rPr>
          <w:rFonts w:ascii="宋体" w:hAnsi="宋体"/>
          <w:sz w:val="24"/>
          <w:szCs w:val="24"/>
        </w:rPr>
        <w:t>L</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sz w:val="24"/>
          <w:szCs w:val="24"/>
        </w:rPr>
      </w:pPr>
      <w:r>
        <w:rPr>
          <w:rFonts w:ascii="宋体" w:hAnsi="宋体"/>
          <w:sz w:val="24"/>
          <w:szCs w:val="24"/>
        </w:rPr>
        <w:t>5.</w:t>
      </w:r>
      <w:r>
        <w:rPr>
          <w:rFonts w:hint="eastAsia" w:ascii="宋体" w:hAnsi="宋体"/>
          <w:sz w:val="24"/>
          <w:szCs w:val="24"/>
        </w:rPr>
        <w:t>温控模块最高升降温速率：≥</w:t>
      </w:r>
      <w:r>
        <w:rPr>
          <w:rFonts w:ascii="宋体" w:hAnsi="宋体"/>
          <w:sz w:val="24"/>
          <w:szCs w:val="24"/>
        </w:rPr>
        <w:t>6</w:t>
      </w:r>
      <w:r>
        <w:rPr>
          <w:rFonts w:hint="eastAsia" w:ascii="宋体" w:hAnsi="宋体"/>
          <w:sz w:val="24"/>
          <w:szCs w:val="24"/>
        </w:rPr>
        <w:t>℃</w:t>
      </w:r>
      <w:r>
        <w:rPr>
          <w:rFonts w:ascii="宋体" w:hAnsi="宋体"/>
          <w:sz w:val="24"/>
          <w:szCs w:val="24"/>
        </w:rPr>
        <w:t>/</w:t>
      </w:r>
      <w:r>
        <w:rPr>
          <w:rFonts w:hint="eastAsia" w:ascii="宋体" w:hAnsi="宋体"/>
          <w:sz w:val="24"/>
          <w:szCs w:val="24"/>
        </w:rPr>
        <w:t>秒（快速</w:t>
      </w:r>
      <w:r>
        <w:rPr>
          <w:rFonts w:ascii="宋体" w:hAnsi="宋体"/>
          <w:sz w:val="24"/>
          <w:szCs w:val="24"/>
        </w:rPr>
        <w:t>96</w:t>
      </w:r>
      <w:r>
        <w:rPr>
          <w:rFonts w:hint="eastAsia" w:ascii="宋体" w:hAnsi="宋体"/>
          <w:sz w:val="24"/>
          <w:szCs w:val="24"/>
        </w:rPr>
        <w:t>孔模块），≥</w:t>
      </w:r>
      <w:r>
        <w:rPr>
          <w:rFonts w:ascii="宋体" w:hAnsi="宋体"/>
          <w:sz w:val="24"/>
          <w:szCs w:val="24"/>
        </w:rPr>
        <w:t>4</w:t>
      </w:r>
      <w:r>
        <w:rPr>
          <w:rFonts w:hint="eastAsia" w:ascii="宋体" w:hAnsi="宋体"/>
          <w:sz w:val="24"/>
          <w:szCs w:val="24"/>
        </w:rPr>
        <w:t>℃</w:t>
      </w:r>
      <w:r>
        <w:rPr>
          <w:rFonts w:ascii="宋体" w:hAnsi="宋体"/>
          <w:sz w:val="24"/>
          <w:szCs w:val="24"/>
        </w:rPr>
        <w:t>/</w:t>
      </w:r>
      <w:r>
        <w:rPr>
          <w:rFonts w:hint="eastAsia" w:ascii="宋体" w:hAnsi="宋体"/>
          <w:sz w:val="24"/>
          <w:szCs w:val="24"/>
        </w:rPr>
        <w:t>秒（标准</w:t>
      </w:r>
      <w:r>
        <w:rPr>
          <w:rFonts w:ascii="宋体" w:hAnsi="宋体"/>
          <w:sz w:val="24"/>
          <w:szCs w:val="24"/>
        </w:rPr>
        <w:t>96</w:t>
      </w:r>
      <w:r>
        <w:rPr>
          <w:rFonts w:hint="eastAsia" w:ascii="宋体" w:hAnsi="宋体"/>
          <w:sz w:val="24"/>
          <w:szCs w:val="24"/>
        </w:rPr>
        <w:t>孔模块），≥</w:t>
      </w:r>
      <w:r>
        <w:rPr>
          <w:rFonts w:ascii="宋体" w:hAnsi="宋体"/>
          <w:sz w:val="24"/>
          <w:szCs w:val="24"/>
        </w:rPr>
        <w:t>3</w:t>
      </w:r>
      <w:r>
        <w:rPr>
          <w:rFonts w:hint="eastAsia" w:ascii="宋体" w:hAnsi="宋体"/>
          <w:sz w:val="24"/>
          <w:szCs w:val="24"/>
        </w:rPr>
        <w:t>℃</w:t>
      </w:r>
      <w:r>
        <w:rPr>
          <w:rFonts w:ascii="宋体" w:hAnsi="宋体"/>
          <w:sz w:val="24"/>
          <w:szCs w:val="24"/>
        </w:rPr>
        <w:t>/</w:t>
      </w:r>
      <w:r>
        <w:rPr>
          <w:rFonts w:hint="eastAsia" w:ascii="宋体" w:hAnsi="宋体"/>
          <w:sz w:val="24"/>
          <w:szCs w:val="24"/>
        </w:rPr>
        <w:t>秒（</w:t>
      </w:r>
      <w:r>
        <w:rPr>
          <w:rFonts w:ascii="宋体" w:hAnsi="宋体"/>
          <w:sz w:val="24"/>
          <w:szCs w:val="24"/>
        </w:rPr>
        <w:t>384</w:t>
      </w:r>
      <w:r>
        <w:rPr>
          <w:rFonts w:hint="eastAsia" w:ascii="宋体" w:hAnsi="宋体"/>
          <w:sz w:val="24"/>
          <w:szCs w:val="24"/>
        </w:rPr>
        <w:t>孔模块）。</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sz w:val="24"/>
          <w:szCs w:val="24"/>
        </w:rPr>
      </w:pPr>
      <w:r>
        <w:rPr>
          <w:rFonts w:ascii="宋体" w:hAnsi="宋体"/>
          <w:sz w:val="24"/>
          <w:szCs w:val="24"/>
        </w:rPr>
        <w:t>6.</w:t>
      </w:r>
      <w:r>
        <w:rPr>
          <w:rFonts w:hint="eastAsia" w:ascii="宋体" w:hAnsi="宋体"/>
          <w:sz w:val="24"/>
          <w:szCs w:val="24"/>
        </w:rPr>
        <w:t>温度准确度：±</w:t>
      </w:r>
      <w:r>
        <w:rPr>
          <w:rFonts w:ascii="宋体" w:hAnsi="宋体"/>
          <w:sz w:val="24"/>
          <w:szCs w:val="24"/>
        </w:rPr>
        <w:t>0.25</w:t>
      </w:r>
      <w:r>
        <w:rPr>
          <w:rFonts w:hint="eastAsia" w:ascii="宋体" w:hAnsi="宋体"/>
          <w:sz w:val="24"/>
          <w:szCs w:val="24"/>
        </w:rPr>
        <w:t>℃，温度范围</w:t>
      </w:r>
      <w:r>
        <w:rPr>
          <w:rFonts w:ascii="宋体" w:hAnsi="宋体"/>
          <w:sz w:val="24"/>
          <w:szCs w:val="24"/>
        </w:rPr>
        <w:t>35</w:t>
      </w:r>
      <w:r>
        <w:rPr>
          <w:rFonts w:hint="eastAsia" w:ascii="宋体" w:hAnsi="宋体"/>
          <w:sz w:val="24"/>
          <w:szCs w:val="24"/>
        </w:rPr>
        <w:t>℃至</w:t>
      </w:r>
      <w:r>
        <w:rPr>
          <w:rFonts w:ascii="宋体" w:hAnsi="宋体"/>
          <w:sz w:val="24"/>
          <w:szCs w:val="24"/>
        </w:rPr>
        <w:t>95</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sz w:val="24"/>
          <w:szCs w:val="24"/>
        </w:rPr>
      </w:pPr>
      <w:r>
        <w:rPr>
          <w:rFonts w:ascii="宋体" w:hAnsi="宋体"/>
          <w:sz w:val="24"/>
          <w:szCs w:val="24"/>
        </w:rPr>
        <w:t>7</w:t>
      </w:r>
      <w:r>
        <w:rPr>
          <w:rFonts w:hint="eastAsia" w:ascii="宋体" w:hAnsi="宋体"/>
          <w:sz w:val="24"/>
          <w:szCs w:val="24"/>
        </w:rPr>
        <w:t>温度均匀性：±</w:t>
      </w:r>
      <w:r>
        <w:rPr>
          <w:rFonts w:ascii="宋体" w:hAnsi="宋体"/>
          <w:sz w:val="24"/>
          <w:szCs w:val="24"/>
        </w:rPr>
        <w:t>0.50</w:t>
      </w:r>
      <w:r>
        <w:rPr>
          <w:rFonts w:hint="eastAsia" w:ascii="宋体" w:hAnsi="宋体"/>
          <w:sz w:val="24"/>
          <w:szCs w:val="24"/>
        </w:rPr>
        <w:t>℃，温度范围</w:t>
      </w:r>
      <w:r>
        <w:rPr>
          <w:rFonts w:ascii="宋体" w:hAnsi="宋体"/>
          <w:sz w:val="24"/>
          <w:szCs w:val="24"/>
        </w:rPr>
        <w:t>35</w:t>
      </w:r>
      <w:r>
        <w:rPr>
          <w:rFonts w:hint="eastAsia" w:ascii="宋体" w:hAnsi="宋体"/>
          <w:sz w:val="24"/>
          <w:szCs w:val="24"/>
        </w:rPr>
        <w:t>℃至</w:t>
      </w:r>
      <w:r>
        <w:rPr>
          <w:rFonts w:ascii="宋体" w:hAnsi="宋体"/>
          <w:sz w:val="24"/>
          <w:szCs w:val="24"/>
        </w:rPr>
        <w:t>95</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sz w:val="24"/>
          <w:szCs w:val="24"/>
        </w:rPr>
      </w:pPr>
      <w:r>
        <w:rPr>
          <w:rFonts w:ascii="宋体" w:hAnsi="宋体"/>
          <w:sz w:val="24"/>
          <w:szCs w:val="24"/>
        </w:rPr>
        <w:t>8.</w:t>
      </w:r>
      <w:r>
        <w:rPr>
          <w:rFonts w:hint="eastAsia" w:ascii="宋体" w:hAnsi="宋体"/>
          <w:sz w:val="24"/>
          <w:szCs w:val="24"/>
        </w:rPr>
        <w:t>熔解曲线分辨率：≤</w:t>
      </w:r>
      <w:r>
        <w:rPr>
          <w:rFonts w:ascii="宋体" w:hAnsi="宋体"/>
          <w:sz w:val="24"/>
          <w:szCs w:val="24"/>
        </w:rPr>
        <w:t>0.04</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sz w:val="24"/>
          <w:szCs w:val="24"/>
        </w:rPr>
      </w:pPr>
      <w:r>
        <w:rPr>
          <w:rFonts w:hint="eastAsia" w:ascii="宋体" w:hAnsi="宋体" w:cs="宋体"/>
          <w:color w:val="000000"/>
          <w:kern w:val="0"/>
          <w:sz w:val="24"/>
          <w:szCs w:val="24"/>
          <w:lang w:val="en-US" w:eastAsia="zh-CN"/>
        </w:rPr>
        <w:t>￠</w:t>
      </w:r>
      <w:r>
        <w:rPr>
          <w:rFonts w:ascii="宋体" w:hAnsi="宋体"/>
          <w:sz w:val="24"/>
          <w:szCs w:val="24"/>
        </w:rPr>
        <w:t>9.</w:t>
      </w:r>
      <w:r>
        <w:rPr>
          <w:rFonts w:hint="eastAsia" w:ascii="宋体" w:hAnsi="宋体"/>
          <w:sz w:val="24"/>
          <w:szCs w:val="24"/>
        </w:rPr>
        <w:t>光学系统：卤钨灯、</w:t>
      </w:r>
      <w:r>
        <w:rPr>
          <w:rFonts w:ascii="宋体" w:hAnsi="宋体"/>
          <w:sz w:val="24"/>
          <w:szCs w:val="24"/>
        </w:rPr>
        <w:t>6</w:t>
      </w:r>
      <w:r>
        <w:rPr>
          <w:rFonts w:hint="eastAsia" w:ascii="宋体" w:hAnsi="宋体"/>
          <w:sz w:val="24"/>
          <w:szCs w:val="24"/>
        </w:rPr>
        <w:t>色激发滤光片、</w:t>
      </w:r>
      <w:r>
        <w:rPr>
          <w:rFonts w:ascii="宋体" w:hAnsi="宋体"/>
          <w:sz w:val="24"/>
          <w:szCs w:val="24"/>
        </w:rPr>
        <w:t>6</w:t>
      </w:r>
      <w:r>
        <w:rPr>
          <w:rFonts w:hint="eastAsia" w:ascii="宋体" w:hAnsi="宋体"/>
          <w:sz w:val="24"/>
          <w:szCs w:val="24"/>
        </w:rPr>
        <w:t>色检测滤光片、</w:t>
      </w:r>
      <w:r>
        <w:rPr>
          <w:rFonts w:ascii="宋体" w:hAnsi="宋体"/>
          <w:sz w:val="24"/>
          <w:szCs w:val="24"/>
        </w:rPr>
        <w:t>CCD</w:t>
      </w:r>
      <w:r>
        <w:rPr>
          <w:rFonts w:hint="eastAsia" w:ascii="宋体" w:hAnsi="宋体"/>
          <w:sz w:val="24"/>
          <w:szCs w:val="24"/>
        </w:rPr>
        <w:t>成像。</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sz w:val="24"/>
          <w:szCs w:val="24"/>
        </w:rPr>
      </w:pPr>
      <w:r>
        <w:rPr>
          <w:rFonts w:hint="eastAsia" w:ascii="宋体" w:hAnsi="宋体" w:cs="宋体"/>
          <w:color w:val="000000"/>
          <w:kern w:val="0"/>
          <w:sz w:val="24"/>
          <w:szCs w:val="24"/>
          <w:lang w:val="en-US" w:eastAsia="zh-CN"/>
        </w:rPr>
        <w:t>￠</w:t>
      </w:r>
      <w:r>
        <w:rPr>
          <w:rFonts w:ascii="宋体" w:hAnsi="宋体"/>
          <w:sz w:val="24"/>
          <w:szCs w:val="24"/>
        </w:rPr>
        <w:t>10.</w:t>
      </w:r>
      <w:r>
        <w:rPr>
          <w:rFonts w:hint="eastAsia" w:ascii="宋体" w:hAnsi="宋体"/>
          <w:sz w:val="24"/>
          <w:szCs w:val="24"/>
        </w:rPr>
        <w:t>被动参照染料：软件支持</w:t>
      </w:r>
      <w:r>
        <w:rPr>
          <w:rFonts w:ascii="宋体" w:hAnsi="宋体"/>
          <w:sz w:val="24"/>
          <w:szCs w:val="24"/>
        </w:rPr>
        <w:t>Rox</w:t>
      </w:r>
      <w:r>
        <w:rPr>
          <w:rFonts w:hint="eastAsia" w:ascii="宋体" w:hAnsi="宋体"/>
          <w:sz w:val="24"/>
          <w:szCs w:val="24"/>
        </w:rPr>
        <w:t>荧光校正去除移液误差。</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sz w:val="24"/>
          <w:szCs w:val="24"/>
        </w:rPr>
      </w:pPr>
      <w:r>
        <w:rPr>
          <w:rFonts w:hint="eastAsia" w:ascii="宋体" w:hAnsi="宋体" w:cs="宋体"/>
          <w:color w:val="000000"/>
          <w:kern w:val="0"/>
          <w:sz w:val="24"/>
          <w:szCs w:val="24"/>
          <w:lang w:val="en-US" w:eastAsia="zh-CN"/>
        </w:rPr>
        <w:t>￠</w:t>
      </w:r>
      <w:r>
        <w:rPr>
          <w:rFonts w:ascii="宋体" w:hAnsi="宋体"/>
          <w:sz w:val="24"/>
          <w:szCs w:val="24"/>
        </w:rPr>
        <w:t>11.</w:t>
      </w:r>
      <w:r>
        <w:rPr>
          <w:rFonts w:hint="eastAsia" w:ascii="宋体" w:hAnsi="宋体"/>
          <w:sz w:val="24"/>
          <w:szCs w:val="24"/>
        </w:rPr>
        <w:t>数据采集：对所有反应孔采集所有检测光通道的数据，试验结束后反应板设置可修改。</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sz w:val="24"/>
          <w:szCs w:val="24"/>
        </w:rPr>
      </w:pPr>
      <w:r>
        <w:rPr>
          <w:rFonts w:ascii="宋体" w:hAnsi="宋体"/>
          <w:sz w:val="24"/>
          <w:szCs w:val="24"/>
        </w:rPr>
        <w:t>12.</w:t>
      </w:r>
      <w:r>
        <w:rPr>
          <w:rFonts w:hint="eastAsia" w:ascii="宋体" w:hAnsi="宋体"/>
          <w:sz w:val="24"/>
          <w:szCs w:val="24"/>
        </w:rPr>
        <w:t>动态范围：≥</w:t>
      </w:r>
      <w:r>
        <w:rPr>
          <w:rFonts w:ascii="宋体" w:hAnsi="宋体"/>
          <w:sz w:val="24"/>
          <w:szCs w:val="24"/>
        </w:rPr>
        <w:t>9</w:t>
      </w:r>
      <w:r>
        <w:rPr>
          <w:rFonts w:hint="eastAsia" w:ascii="宋体" w:hAnsi="宋体"/>
          <w:sz w:val="24"/>
          <w:szCs w:val="24"/>
        </w:rPr>
        <w:t>个对数的线性动态范围。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sz w:val="24"/>
          <w:szCs w:val="24"/>
        </w:rPr>
      </w:pPr>
      <w:r>
        <w:rPr>
          <w:rFonts w:hint="eastAsia" w:ascii="宋体" w:hAnsi="宋体" w:cs="宋体"/>
          <w:color w:val="000000"/>
          <w:kern w:val="0"/>
          <w:sz w:val="24"/>
          <w:szCs w:val="24"/>
          <w:lang w:val="en-US" w:eastAsia="zh-CN"/>
        </w:rPr>
        <w:t>￠</w:t>
      </w:r>
      <w:r>
        <w:rPr>
          <w:rFonts w:ascii="宋体" w:hAnsi="宋体"/>
          <w:sz w:val="24"/>
          <w:szCs w:val="24"/>
        </w:rPr>
        <w:t>13.</w:t>
      </w:r>
      <w:r>
        <w:rPr>
          <w:rFonts w:hint="eastAsia" w:ascii="宋体" w:hAnsi="宋体"/>
          <w:sz w:val="24"/>
          <w:szCs w:val="24"/>
        </w:rPr>
        <w:t>检测灵敏度：单拷贝检测</w:t>
      </w:r>
      <w:r>
        <w:rPr>
          <w:rFonts w:ascii="宋体" w:hAnsi="宋体"/>
          <w:sz w:val="24"/>
          <w:szCs w:val="24"/>
        </w:rPr>
        <w:t>/</w:t>
      </w:r>
      <w:r>
        <w:rPr>
          <w:rFonts w:hint="eastAsia" w:ascii="宋体" w:hAnsi="宋体"/>
          <w:sz w:val="24"/>
          <w:szCs w:val="24"/>
        </w:rPr>
        <w:t>反应体系。</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sz w:val="24"/>
          <w:szCs w:val="24"/>
        </w:rPr>
      </w:pPr>
      <w:r>
        <w:rPr>
          <w:rFonts w:hint="eastAsia" w:ascii="宋体" w:hAnsi="宋体" w:cs="宋体"/>
          <w:color w:val="000000"/>
          <w:kern w:val="0"/>
          <w:sz w:val="24"/>
          <w:szCs w:val="24"/>
          <w:lang w:val="en-US" w:eastAsia="zh-CN"/>
        </w:rPr>
        <w:t>￠</w:t>
      </w:r>
      <w:r>
        <w:rPr>
          <w:rFonts w:ascii="宋体" w:hAnsi="宋体"/>
          <w:sz w:val="24"/>
          <w:szCs w:val="24"/>
        </w:rPr>
        <w:t>14.</w:t>
      </w:r>
      <w:r>
        <w:rPr>
          <w:rFonts w:hint="eastAsia" w:ascii="宋体" w:hAnsi="宋体"/>
          <w:sz w:val="24"/>
          <w:szCs w:val="24"/>
        </w:rPr>
        <w:t>精密度：最低可分辨</w:t>
      </w:r>
      <w:r>
        <w:rPr>
          <w:rFonts w:ascii="宋体" w:hAnsi="宋体"/>
          <w:sz w:val="24"/>
          <w:szCs w:val="24"/>
        </w:rPr>
        <w:t>1.5</w:t>
      </w:r>
      <w:r>
        <w:rPr>
          <w:rFonts w:hint="eastAsia" w:ascii="宋体" w:hAnsi="宋体"/>
          <w:sz w:val="24"/>
          <w:szCs w:val="24"/>
        </w:rPr>
        <w:t>倍拷贝数差异，置信度</w:t>
      </w:r>
      <w:r>
        <w:rPr>
          <w:rFonts w:ascii="宋体" w:hAnsi="宋体"/>
          <w:sz w:val="24"/>
          <w:szCs w:val="24"/>
        </w:rPr>
        <w:t>99.7%</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sz w:val="24"/>
          <w:szCs w:val="24"/>
        </w:rPr>
      </w:pPr>
      <w:r>
        <w:rPr>
          <w:rFonts w:ascii="宋体" w:hAnsi="宋体"/>
          <w:sz w:val="24"/>
          <w:szCs w:val="24"/>
        </w:rPr>
        <w:t>15.</w:t>
      </w:r>
      <w:r>
        <w:rPr>
          <w:rFonts w:hint="eastAsia" w:ascii="宋体" w:hAnsi="宋体"/>
          <w:sz w:val="24"/>
          <w:szCs w:val="24"/>
        </w:rPr>
        <w:t>运行时间：</w:t>
      </w:r>
      <w:r>
        <w:rPr>
          <w:rFonts w:ascii="宋体" w:hAnsi="宋体"/>
          <w:sz w:val="24"/>
          <w:szCs w:val="24"/>
        </w:rPr>
        <w:t>40</w:t>
      </w:r>
      <w:r>
        <w:rPr>
          <w:rFonts w:hint="eastAsia" w:ascii="宋体" w:hAnsi="宋体"/>
          <w:sz w:val="24"/>
          <w:szCs w:val="24"/>
        </w:rPr>
        <w:t>分钟内完成</w:t>
      </w:r>
      <w:r>
        <w:rPr>
          <w:rFonts w:ascii="宋体" w:hAnsi="宋体"/>
          <w:sz w:val="24"/>
          <w:szCs w:val="24"/>
        </w:rPr>
        <w:t>384</w:t>
      </w:r>
      <w:r>
        <w:rPr>
          <w:rFonts w:hint="eastAsia" w:ascii="宋体" w:hAnsi="宋体"/>
          <w:sz w:val="24"/>
          <w:szCs w:val="24"/>
        </w:rPr>
        <w:t>孔板</w:t>
      </w:r>
      <w:r>
        <w:rPr>
          <w:rFonts w:ascii="宋体" w:hAnsi="宋体"/>
          <w:sz w:val="24"/>
          <w:szCs w:val="24"/>
        </w:rPr>
        <w:t>40</w:t>
      </w:r>
      <w:r>
        <w:rPr>
          <w:rFonts w:hint="eastAsia" w:ascii="宋体" w:hAnsi="宋体"/>
          <w:sz w:val="24"/>
          <w:szCs w:val="24"/>
        </w:rPr>
        <w:t>个循环反应。</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sz w:val="24"/>
          <w:szCs w:val="24"/>
        </w:rPr>
      </w:pPr>
      <w:r>
        <w:rPr>
          <w:rFonts w:ascii="宋体" w:hAnsi="宋体"/>
          <w:sz w:val="24"/>
          <w:szCs w:val="24"/>
        </w:rPr>
        <w:t>16.</w:t>
      </w:r>
      <w:r>
        <w:rPr>
          <w:rFonts w:hint="eastAsia" w:ascii="宋体" w:hAnsi="宋体"/>
          <w:sz w:val="24"/>
          <w:szCs w:val="24"/>
        </w:rPr>
        <w:t>自动校准曲线、相对标准曲线建立。</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sz w:val="24"/>
          <w:szCs w:val="24"/>
        </w:rPr>
      </w:pPr>
      <w:r>
        <w:rPr>
          <w:rFonts w:ascii="宋体" w:hAnsi="宋体"/>
          <w:sz w:val="24"/>
          <w:szCs w:val="24"/>
        </w:rPr>
        <w:t>17</w:t>
      </w:r>
      <w:r>
        <w:rPr>
          <w:rFonts w:hint="eastAsia" w:ascii="宋体" w:hAnsi="宋体"/>
          <w:sz w:val="24"/>
          <w:szCs w:val="24"/>
        </w:rPr>
        <w:t>、远程监控（最多可监测</w:t>
      </w:r>
      <w:r>
        <w:rPr>
          <w:rFonts w:ascii="宋体" w:hAnsi="宋体"/>
          <w:sz w:val="24"/>
          <w:szCs w:val="24"/>
        </w:rPr>
        <w:t>15</w:t>
      </w:r>
      <w:r>
        <w:rPr>
          <w:rFonts w:hint="eastAsia" w:ascii="宋体" w:hAnsi="宋体"/>
          <w:sz w:val="24"/>
          <w:szCs w:val="24"/>
        </w:rPr>
        <w:t>台机器，并控制其中</w:t>
      </w:r>
      <w:r>
        <w:rPr>
          <w:rFonts w:ascii="宋体" w:hAnsi="宋体"/>
          <w:sz w:val="24"/>
          <w:szCs w:val="24"/>
        </w:rPr>
        <w:t>4</w:t>
      </w:r>
      <w:r>
        <w:rPr>
          <w:rFonts w:hint="eastAsia" w:ascii="宋体" w:hAnsi="宋体"/>
          <w:sz w:val="24"/>
          <w:szCs w:val="24"/>
        </w:rPr>
        <w:t>台机器）和</w:t>
      </w:r>
      <w:r>
        <w:rPr>
          <w:rFonts w:ascii="宋体" w:hAnsi="宋体"/>
          <w:sz w:val="24"/>
          <w:szCs w:val="24"/>
        </w:rPr>
        <w:t>Email</w:t>
      </w:r>
      <w:r>
        <w:rPr>
          <w:rFonts w:hint="eastAsia" w:ascii="宋体" w:hAnsi="宋体"/>
          <w:sz w:val="24"/>
          <w:szCs w:val="24"/>
        </w:rPr>
        <w:t>通知高级分析选项，每孔手动基线设定。</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textAlignment w:val="auto"/>
        <w:outlineLvl w:val="9"/>
        <w:rPr>
          <w:rFonts w:ascii="宋体"/>
          <w:sz w:val="24"/>
          <w:szCs w:val="24"/>
        </w:rPr>
      </w:pPr>
      <w:r>
        <w:rPr>
          <w:rFonts w:ascii="宋体" w:hAnsi="宋体"/>
          <w:sz w:val="24"/>
          <w:szCs w:val="24"/>
        </w:rPr>
        <w:t>18</w:t>
      </w:r>
      <w:r>
        <w:rPr>
          <w:rFonts w:hint="eastAsia" w:ascii="宋体" w:hAnsi="宋体"/>
          <w:sz w:val="24"/>
          <w:szCs w:val="24"/>
        </w:rPr>
        <w:t>、能与并负责与</w:t>
      </w:r>
      <w:r>
        <w:rPr>
          <w:rFonts w:ascii="宋体" w:hAnsi="宋体"/>
          <w:sz w:val="24"/>
          <w:szCs w:val="24"/>
        </w:rPr>
        <w:t>LIS</w:t>
      </w:r>
      <w:r>
        <w:rPr>
          <w:rFonts w:hint="eastAsia" w:ascii="宋体" w:hAnsi="宋体"/>
          <w:sz w:val="24"/>
          <w:szCs w:val="24"/>
        </w:rPr>
        <w:t>和</w:t>
      </w:r>
      <w:r>
        <w:rPr>
          <w:rFonts w:ascii="宋体" w:hAnsi="宋体"/>
          <w:sz w:val="24"/>
          <w:szCs w:val="24"/>
        </w:rPr>
        <w:t>HIS</w:t>
      </w:r>
      <w:r>
        <w:rPr>
          <w:rFonts w:hint="eastAsia" w:ascii="宋体" w:hAnsi="宋体"/>
          <w:sz w:val="24"/>
          <w:szCs w:val="24"/>
        </w:rPr>
        <w:t>系统连接。</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textAlignment w:val="auto"/>
        <w:outlineLvl w:val="9"/>
        <w:rPr>
          <w:rFonts w:ascii="宋体" w:hAnsi="宋体"/>
          <w:sz w:val="24"/>
          <w:szCs w:val="24"/>
        </w:rPr>
      </w:pPr>
      <w:r>
        <w:rPr>
          <w:rFonts w:ascii="宋体" w:hAnsi="宋体"/>
          <w:sz w:val="24"/>
          <w:szCs w:val="24"/>
        </w:rPr>
        <w:t>19</w:t>
      </w:r>
      <w:r>
        <w:rPr>
          <w:rFonts w:hint="eastAsia" w:ascii="宋体" w:hAnsi="宋体"/>
          <w:sz w:val="24"/>
          <w:szCs w:val="24"/>
        </w:rPr>
        <w:t>，安装时已校准染料：</w:t>
      </w:r>
      <w:r>
        <w:rPr>
          <w:rFonts w:ascii="宋体" w:hAnsi="宋体"/>
          <w:sz w:val="24"/>
          <w:szCs w:val="24"/>
        </w:rPr>
        <w:t xml:space="preserve"> FAM</w:t>
      </w:r>
      <w:r>
        <w:rPr>
          <w:rFonts w:hint="eastAsia" w:ascii="宋体" w:hAnsi="宋体"/>
          <w:sz w:val="24"/>
          <w:szCs w:val="24"/>
        </w:rPr>
        <w:t>™</w:t>
      </w:r>
      <w:r>
        <w:rPr>
          <w:rFonts w:ascii="宋体" w:hAnsi="宋体"/>
          <w:sz w:val="24"/>
          <w:szCs w:val="24"/>
        </w:rPr>
        <w:t>, SYBR</w:t>
      </w:r>
      <w:r>
        <w:rPr>
          <w:rFonts w:hint="eastAsia" w:ascii="宋体" w:hAnsi="宋体"/>
          <w:sz w:val="24"/>
          <w:szCs w:val="24"/>
        </w:rPr>
        <w:t>®</w:t>
      </w:r>
      <w:r>
        <w:rPr>
          <w:rFonts w:ascii="宋体" w:hAnsi="宋体"/>
          <w:sz w:val="24"/>
          <w:szCs w:val="24"/>
        </w:rPr>
        <w:t>, SYTO</w:t>
      </w:r>
      <w:r>
        <w:rPr>
          <w:rFonts w:hint="eastAsia" w:ascii="宋体" w:hAnsi="宋体"/>
          <w:sz w:val="24"/>
          <w:szCs w:val="24"/>
        </w:rPr>
        <w:t>®</w:t>
      </w:r>
      <w:r>
        <w:rPr>
          <w:rFonts w:ascii="宋体" w:hAnsi="宋体"/>
          <w:sz w:val="24"/>
          <w:szCs w:val="24"/>
        </w:rPr>
        <w:t>9 (MeltDoctor</w:t>
      </w:r>
      <w:r>
        <w:rPr>
          <w:rFonts w:hint="eastAsia" w:ascii="宋体" w:hAnsi="宋体"/>
          <w:sz w:val="24"/>
          <w:szCs w:val="24"/>
        </w:rPr>
        <w:t>™</w:t>
      </w:r>
      <w:r>
        <w:rPr>
          <w:rFonts w:ascii="宋体" w:hAnsi="宋体"/>
          <w:sz w:val="24"/>
          <w:szCs w:val="24"/>
        </w:rPr>
        <w:t>), Fluorescein, SYPRO</w:t>
      </w:r>
      <w:r>
        <w:rPr>
          <w:rFonts w:hint="eastAsia" w:ascii="宋体" w:hAnsi="宋体"/>
          <w:sz w:val="24"/>
          <w:szCs w:val="24"/>
        </w:rPr>
        <w:t>®</w:t>
      </w:r>
      <w:r>
        <w:rPr>
          <w:rFonts w:ascii="宋体" w:hAnsi="宋体"/>
          <w:sz w:val="24"/>
          <w:szCs w:val="24"/>
        </w:rPr>
        <w:t xml:space="preserve"> Orange</w:t>
      </w:r>
      <w:r>
        <w:rPr>
          <w:rFonts w:hint="eastAsia" w:ascii="宋体" w:hAnsi="宋体"/>
          <w:sz w:val="24"/>
          <w:szCs w:val="24"/>
        </w:rPr>
        <w:t>，</w:t>
      </w:r>
      <w:r>
        <w:rPr>
          <w:rFonts w:ascii="宋体" w:hAnsi="宋体"/>
          <w:sz w:val="24"/>
          <w:szCs w:val="24"/>
        </w:rPr>
        <w:t>VIC</w:t>
      </w:r>
      <w:r>
        <w:rPr>
          <w:rFonts w:hint="eastAsia" w:ascii="宋体" w:hAnsi="宋体"/>
          <w:sz w:val="24"/>
          <w:szCs w:val="24"/>
        </w:rPr>
        <w:t>®</w:t>
      </w:r>
      <w:r>
        <w:rPr>
          <w:rFonts w:ascii="宋体" w:hAnsi="宋体"/>
          <w:sz w:val="24"/>
          <w:szCs w:val="24"/>
        </w:rPr>
        <w:t>, JOE</w:t>
      </w:r>
      <w:r>
        <w:rPr>
          <w:rFonts w:hint="eastAsia" w:ascii="宋体" w:hAnsi="宋体"/>
          <w:sz w:val="24"/>
          <w:szCs w:val="24"/>
        </w:rPr>
        <w:t>™</w:t>
      </w:r>
      <w:r>
        <w:rPr>
          <w:rFonts w:ascii="宋体" w:hAnsi="宋体"/>
          <w:sz w:val="24"/>
          <w:szCs w:val="24"/>
        </w:rPr>
        <w:t>, TET</w:t>
      </w:r>
      <w:r>
        <w:rPr>
          <w:rFonts w:hint="eastAsia" w:ascii="宋体" w:hAnsi="宋体"/>
          <w:sz w:val="24"/>
          <w:szCs w:val="24"/>
        </w:rPr>
        <w:t>™</w:t>
      </w:r>
      <w:r>
        <w:rPr>
          <w:rFonts w:ascii="宋体" w:hAnsi="宋体"/>
          <w:sz w:val="24"/>
          <w:szCs w:val="24"/>
        </w:rPr>
        <w:t>, HEX</w:t>
      </w:r>
      <w:r>
        <w:rPr>
          <w:rFonts w:hint="eastAsia" w:ascii="宋体" w:hAnsi="宋体"/>
          <w:sz w:val="24"/>
          <w:szCs w:val="24"/>
        </w:rPr>
        <w:t>™，</w:t>
      </w:r>
      <w:r>
        <w:rPr>
          <w:rFonts w:ascii="宋体" w:hAnsi="宋体"/>
          <w:sz w:val="24"/>
          <w:szCs w:val="24"/>
        </w:rPr>
        <w:t>TAMRA</w:t>
      </w:r>
      <w:r>
        <w:rPr>
          <w:rFonts w:hint="eastAsia" w:ascii="宋体" w:hAnsi="宋体"/>
          <w:sz w:val="24"/>
          <w:szCs w:val="24"/>
        </w:rPr>
        <w:t>™</w:t>
      </w:r>
      <w:r>
        <w:rPr>
          <w:rFonts w:ascii="宋体" w:hAnsi="宋体"/>
          <w:sz w:val="24"/>
          <w:szCs w:val="24"/>
        </w:rPr>
        <w:t>, NED</w:t>
      </w:r>
      <w:r>
        <w:rPr>
          <w:rFonts w:hint="eastAsia" w:ascii="宋体" w:hAnsi="宋体"/>
          <w:sz w:val="24"/>
          <w:szCs w:val="24"/>
        </w:rPr>
        <w:t>™</w:t>
      </w:r>
      <w:r>
        <w:rPr>
          <w:rFonts w:ascii="宋体" w:hAnsi="宋体"/>
          <w:sz w:val="24"/>
          <w:szCs w:val="24"/>
        </w:rPr>
        <w:t>, BODIPY</w:t>
      </w:r>
      <w:r>
        <w:rPr>
          <w:rFonts w:hint="eastAsia" w:ascii="宋体" w:hAnsi="宋体"/>
          <w:sz w:val="24"/>
          <w:szCs w:val="24"/>
        </w:rPr>
        <w:t>®</w:t>
      </w:r>
      <w:r>
        <w:rPr>
          <w:rFonts w:ascii="宋体" w:hAnsi="宋体"/>
          <w:sz w:val="24"/>
          <w:szCs w:val="24"/>
        </w:rPr>
        <w:t xml:space="preserve"> TMR-X</w:t>
      </w:r>
      <w:r>
        <w:rPr>
          <w:rFonts w:hint="eastAsia" w:ascii="宋体" w:hAnsi="宋体"/>
          <w:sz w:val="24"/>
          <w:szCs w:val="24"/>
        </w:rPr>
        <w:t>，</w:t>
      </w:r>
      <w:r>
        <w:rPr>
          <w:rFonts w:ascii="宋体" w:hAnsi="宋体"/>
          <w:sz w:val="24"/>
          <w:szCs w:val="24"/>
        </w:rPr>
        <w:t>Texas Red</w:t>
      </w:r>
      <w:r>
        <w:rPr>
          <w:rFonts w:hint="eastAsia" w:ascii="宋体" w:hAnsi="宋体"/>
          <w:sz w:val="24"/>
          <w:szCs w:val="24"/>
        </w:rPr>
        <w:t>®，</w:t>
      </w:r>
      <w:r>
        <w:rPr>
          <w:rFonts w:ascii="宋体" w:hAnsi="宋体"/>
          <w:sz w:val="24"/>
          <w:szCs w:val="24"/>
        </w:rPr>
        <w:t xml:space="preserve"> LIZ</w:t>
      </w:r>
      <w:r>
        <w:rPr>
          <w:rFonts w:hint="eastAsia" w:ascii="宋体" w:hAnsi="宋体"/>
          <w:sz w:val="24"/>
          <w:szCs w:val="24"/>
        </w:rPr>
        <w:t>™，</w:t>
      </w:r>
      <w:r>
        <w:rPr>
          <w:rFonts w:ascii="宋体" w:hAnsi="宋体"/>
          <w:sz w:val="24"/>
          <w:szCs w:val="24"/>
        </w:rPr>
        <w:t>Alexa Fluor</w:t>
      </w:r>
      <w:r>
        <w:rPr>
          <w:rFonts w:hint="eastAsia" w:ascii="宋体" w:hAnsi="宋体"/>
          <w:sz w:val="24"/>
          <w:szCs w:val="24"/>
        </w:rPr>
        <w:t>®</w:t>
      </w:r>
      <w:r>
        <w:rPr>
          <w:rFonts w:ascii="宋体" w:hAnsi="宋体"/>
          <w:sz w:val="24"/>
          <w:szCs w:val="24"/>
        </w:rPr>
        <w:t>, Joda-4</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textAlignment w:val="auto"/>
        <w:outlineLvl w:val="9"/>
        <w:rPr>
          <w:rFonts w:hint="eastAsia" w:ascii="宋体" w:hAnsi="宋体" w:cs="宋体"/>
          <w:b/>
          <w:sz w:val="24"/>
          <w:lang w:eastAsia="zh-CN"/>
        </w:rPr>
      </w:pPr>
      <w:r>
        <w:rPr>
          <w:rFonts w:hint="eastAsia" w:ascii="宋体" w:hAnsi="宋体" w:cs="宋体"/>
          <w:b/>
          <w:sz w:val="24"/>
          <w:lang w:eastAsia="zh-CN"/>
        </w:rPr>
        <w:t>（六）</w:t>
      </w:r>
      <w:r>
        <w:rPr>
          <w:rFonts w:hint="eastAsia" w:ascii="宋体" w:hAnsi="宋体" w:cs="宋体"/>
          <w:b/>
          <w:sz w:val="24"/>
        </w:rPr>
        <w:t>全自动微生物鉴定与药敏分析系统1</w:t>
      </w:r>
      <w:r>
        <w:rPr>
          <w:rFonts w:hint="eastAsia" w:ascii="宋体" w:hAnsi="宋体" w:cs="宋体"/>
          <w:b/>
          <w:sz w:val="24"/>
          <w:lang w:eastAsia="zh-CN"/>
        </w:rPr>
        <w:t>套</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textAlignment w:val="auto"/>
        <w:outlineLvl w:val="9"/>
        <w:rPr>
          <w:rFonts w:ascii="宋体" w:cs="宋体"/>
          <w:sz w:val="24"/>
          <w:szCs w:val="24"/>
        </w:rPr>
      </w:pPr>
      <w:r>
        <w:rPr>
          <w:rFonts w:ascii="宋体" w:hAnsi="宋体" w:cs="宋体"/>
          <w:sz w:val="24"/>
          <w:szCs w:val="24"/>
        </w:rPr>
        <w:t>1.</w:t>
      </w:r>
      <w:r>
        <w:rPr>
          <w:rFonts w:hint="eastAsia" w:ascii="宋体" w:hAnsi="宋体" w:cs="宋体"/>
          <w:sz w:val="24"/>
          <w:szCs w:val="24"/>
        </w:rPr>
        <w:t>检测原理：动态多波长色谱法和动态比浊法，每</w:t>
      </w:r>
      <w:r>
        <w:rPr>
          <w:rFonts w:ascii="宋体" w:hAnsi="宋体" w:cs="宋体"/>
          <w:sz w:val="24"/>
          <w:szCs w:val="24"/>
        </w:rPr>
        <w:t>15</w:t>
      </w:r>
      <w:r>
        <w:rPr>
          <w:rFonts w:hint="eastAsia" w:ascii="宋体" w:hAnsi="宋体" w:cs="宋体"/>
          <w:sz w:val="24"/>
          <w:szCs w:val="24"/>
        </w:rPr>
        <w:t>分钟检测一次。</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textAlignment w:val="auto"/>
        <w:outlineLvl w:val="9"/>
        <w:rPr>
          <w:rFonts w:ascii="宋体" w:cs="宋体"/>
          <w:sz w:val="24"/>
          <w:szCs w:val="24"/>
        </w:rPr>
      </w:pPr>
      <w:r>
        <w:rPr>
          <w:rFonts w:hint="eastAsia" w:ascii="宋体" w:hAnsi="宋体" w:cs="宋体"/>
          <w:sz w:val="24"/>
          <w:szCs w:val="24"/>
          <w:lang w:eastAsia="zh-CN"/>
        </w:rPr>
        <w:t>★</w:t>
      </w:r>
      <w:r>
        <w:rPr>
          <w:rFonts w:ascii="宋体" w:hAnsi="宋体" w:cs="宋体"/>
          <w:sz w:val="24"/>
          <w:szCs w:val="24"/>
        </w:rPr>
        <w:t>2.</w:t>
      </w:r>
      <w:r>
        <w:rPr>
          <w:rFonts w:hint="eastAsia" w:ascii="宋体" w:hAnsi="宋体" w:cs="宋体"/>
          <w:sz w:val="24"/>
          <w:szCs w:val="24"/>
        </w:rPr>
        <w:t>仪器自动鉴定细菌的种类包括但不限于：革兰氏阴性杆菌、革兰氏阳性球菌、真菌、厌氧菌、奈瑟氏菌、嗜血杆菌、芽孢杆菌、棒状杆菌；药敏种类包括但不限于：革兰氏阴性菌、革兰氏阳性菌、快速肺炎链球菌、真菌。</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textAlignment w:val="auto"/>
        <w:outlineLvl w:val="9"/>
        <w:rPr>
          <w:rFonts w:ascii="宋体" w:cs="宋体"/>
          <w:sz w:val="24"/>
          <w:szCs w:val="24"/>
        </w:rPr>
      </w:pPr>
      <w:r>
        <w:rPr>
          <w:rFonts w:ascii="宋体" w:hAnsi="宋体" w:cs="宋体"/>
          <w:sz w:val="24"/>
          <w:szCs w:val="24"/>
        </w:rPr>
        <w:t>3.</w:t>
      </w:r>
      <w:r>
        <w:rPr>
          <w:rFonts w:hint="eastAsia" w:ascii="宋体" w:hAnsi="宋体" w:cs="宋体"/>
          <w:sz w:val="24"/>
          <w:szCs w:val="24"/>
        </w:rPr>
        <w:t>能在</w:t>
      </w:r>
      <w:r>
        <w:rPr>
          <w:rFonts w:ascii="宋体" w:hAnsi="宋体" w:cs="宋体"/>
          <w:sz w:val="24"/>
          <w:szCs w:val="24"/>
        </w:rPr>
        <w:t>8</w:t>
      </w:r>
      <w:r>
        <w:rPr>
          <w:rFonts w:hint="eastAsia" w:ascii="宋体" w:hAnsi="宋体" w:cs="宋体"/>
          <w:sz w:val="24"/>
          <w:szCs w:val="24"/>
        </w:rPr>
        <w:t>小时内完成细菌鉴定药敏试验。</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textAlignment w:val="auto"/>
        <w:outlineLvl w:val="9"/>
        <w:rPr>
          <w:rFonts w:ascii="宋体" w:cs="宋体"/>
          <w:sz w:val="24"/>
          <w:szCs w:val="24"/>
        </w:rPr>
      </w:pPr>
      <w:r>
        <w:rPr>
          <w:rFonts w:ascii="宋体" w:hAnsi="宋体" w:cs="宋体"/>
          <w:sz w:val="24"/>
          <w:szCs w:val="24"/>
        </w:rPr>
        <w:t>4.</w:t>
      </w:r>
      <w:r>
        <w:rPr>
          <w:rFonts w:hint="eastAsia" w:ascii="宋体" w:hAnsi="宋体" w:cs="宋体"/>
          <w:sz w:val="24"/>
          <w:szCs w:val="24"/>
        </w:rPr>
        <w:t>药敏实验卡片抗生素组合平均不少于</w:t>
      </w:r>
      <w:r>
        <w:rPr>
          <w:rFonts w:ascii="宋体" w:hAnsi="宋体" w:cs="宋体"/>
          <w:sz w:val="24"/>
          <w:szCs w:val="24"/>
        </w:rPr>
        <w:t>15</w:t>
      </w:r>
      <w:r>
        <w:rPr>
          <w:rFonts w:hint="eastAsia" w:ascii="宋体" w:hAnsi="宋体" w:cs="宋体"/>
          <w:sz w:val="24"/>
          <w:szCs w:val="24"/>
        </w:rPr>
        <w:t>种，每个抗生素报告平均不低于</w:t>
      </w:r>
      <w:r>
        <w:rPr>
          <w:rFonts w:ascii="宋体" w:hAnsi="宋体" w:cs="宋体"/>
          <w:sz w:val="24"/>
          <w:szCs w:val="24"/>
        </w:rPr>
        <w:t>5</w:t>
      </w:r>
      <w:r>
        <w:rPr>
          <w:rFonts w:hint="eastAsia" w:ascii="宋体" w:hAnsi="宋体" w:cs="宋体"/>
          <w:sz w:val="24"/>
          <w:szCs w:val="24"/>
        </w:rPr>
        <w:t>个</w:t>
      </w:r>
      <w:r>
        <w:rPr>
          <w:rFonts w:ascii="宋体" w:hAnsi="宋体" w:cs="宋体"/>
          <w:sz w:val="24"/>
          <w:szCs w:val="24"/>
        </w:rPr>
        <w:t>MIC</w:t>
      </w:r>
      <w:r>
        <w:rPr>
          <w:rFonts w:hint="eastAsia" w:ascii="宋体" w:hAnsi="宋体" w:cs="宋体"/>
          <w:sz w:val="24"/>
          <w:szCs w:val="24"/>
        </w:rPr>
        <w:t>梯度。</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textAlignment w:val="auto"/>
        <w:outlineLvl w:val="9"/>
        <w:rPr>
          <w:rFonts w:ascii="宋体" w:cs="宋体"/>
          <w:sz w:val="24"/>
          <w:szCs w:val="24"/>
        </w:rPr>
      </w:pPr>
      <w:r>
        <w:rPr>
          <w:rFonts w:ascii="宋体" w:hAnsi="宋体" w:cs="宋体"/>
          <w:sz w:val="24"/>
          <w:szCs w:val="24"/>
        </w:rPr>
        <w:t>5.</w:t>
      </w:r>
      <w:r>
        <w:rPr>
          <w:rFonts w:hint="eastAsia" w:ascii="宋体" w:hAnsi="宋体" w:cs="宋体"/>
          <w:sz w:val="24"/>
          <w:szCs w:val="24"/>
        </w:rPr>
        <w:t>药敏实验卡片抗生素</w:t>
      </w:r>
      <w:r>
        <w:rPr>
          <w:rFonts w:ascii="宋体" w:hAnsi="宋体" w:cs="宋体"/>
          <w:sz w:val="24"/>
          <w:szCs w:val="24"/>
        </w:rPr>
        <w:t>MIC</w:t>
      </w:r>
      <w:r>
        <w:rPr>
          <w:rFonts w:hint="eastAsia" w:ascii="宋体" w:hAnsi="宋体" w:cs="宋体"/>
          <w:sz w:val="24"/>
          <w:szCs w:val="24"/>
        </w:rPr>
        <w:t>范围应包含</w:t>
      </w:r>
      <w:r>
        <w:rPr>
          <w:rFonts w:ascii="宋体" w:hAnsi="宋体" w:cs="宋体"/>
          <w:sz w:val="24"/>
          <w:szCs w:val="24"/>
        </w:rPr>
        <w:t>CLSI2010</w:t>
      </w:r>
      <w:r>
        <w:rPr>
          <w:rFonts w:hint="eastAsia" w:ascii="宋体" w:hAnsi="宋体" w:cs="宋体"/>
          <w:sz w:val="24"/>
          <w:szCs w:val="24"/>
        </w:rPr>
        <w:t>规定的相应抗生素折点。</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textAlignment w:val="auto"/>
        <w:outlineLvl w:val="9"/>
        <w:rPr>
          <w:rFonts w:ascii="宋体" w:cs="宋体"/>
          <w:sz w:val="24"/>
          <w:szCs w:val="24"/>
        </w:rPr>
      </w:pPr>
      <w:r>
        <w:rPr>
          <w:rFonts w:ascii="宋体" w:hAnsi="宋体" w:cs="宋体"/>
          <w:sz w:val="24"/>
          <w:szCs w:val="24"/>
        </w:rPr>
        <w:t>6.</w:t>
      </w:r>
      <w:r>
        <w:rPr>
          <w:rFonts w:hint="eastAsia" w:ascii="宋体" w:hAnsi="宋体" w:cs="宋体"/>
          <w:sz w:val="24"/>
          <w:szCs w:val="24"/>
        </w:rPr>
        <w:t>药敏卡片的抗生素组合应涵盖对超级细菌较为有效的抗生素，如多粘菌素或替加环素等。</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textAlignment w:val="auto"/>
        <w:outlineLvl w:val="9"/>
        <w:rPr>
          <w:rFonts w:ascii="宋体" w:cs="宋体"/>
          <w:sz w:val="24"/>
          <w:szCs w:val="24"/>
        </w:rPr>
      </w:pPr>
      <w:r>
        <w:rPr>
          <w:rFonts w:ascii="宋体" w:hAnsi="宋体" w:cs="宋体"/>
          <w:sz w:val="24"/>
          <w:szCs w:val="24"/>
        </w:rPr>
        <w:t>7.</w:t>
      </w:r>
      <w:r>
        <w:rPr>
          <w:rFonts w:hint="eastAsia" w:ascii="宋体" w:hAnsi="宋体" w:cs="宋体"/>
          <w:sz w:val="24"/>
          <w:szCs w:val="24"/>
        </w:rPr>
        <w:t>定量的第三代专家系统，以</w:t>
      </w:r>
      <w:r>
        <w:rPr>
          <w:rFonts w:ascii="宋体" w:hAnsi="宋体" w:cs="宋体"/>
          <w:sz w:val="24"/>
          <w:szCs w:val="24"/>
        </w:rPr>
        <w:t>MIC</w:t>
      </w:r>
      <w:r>
        <w:rPr>
          <w:rFonts w:hint="eastAsia" w:ascii="宋体" w:hAnsi="宋体" w:cs="宋体"/>
          <w:sz w:val="24"/>
          <w:szCs w:val="24"/>
        </w:rPr>
        <w:t>值为分析基础，全面分析细菌的耐药机制。</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textAlignment w:val="auto"/>
        <w:outlineLvl w:val="9"/>
        <w:rPr>
          <w:rFonts w:ascii="宋体" w:cs="宋体"/>
          <w:sz w:val="24"/>
          <w:szCs w:val="24"/>
        </w:rPr>
      </w:pPr>
      <w:r>
        <w:rPr>
          <w:rFonts w:ascii="宋体" w:hAnsi="宋体" w:cs="宋体"/>
          <w:sz w:val="24"/>
          <w:szCs w:val="24"/>
        </w:rPr>
        <w:t>8.</w:t>
      </w:r>
      <w:r>
        <w:rPr>
          <w:rFonts w:hint="eastAsia" w:ascii="宋体" w:hAnsi="宋体" w:cs="宋体"/>
          <w:sz w:val="24"/>
          <w:szCs w:val="24"/>
        </w:rPr>
        <w:t>可检测包括基因型在内的</w:t>
      </w:r>
      <w:r>
        <w:rPr>
          <w:rFonts w:ascii="宋体" w:hAnsi="宋体" w:cs="宋体"/>
          <w:sz w:val="24"/>
          <w:szCs w:val="24"/>
        </w:rPr>
        <w:t>100</w:t>
      </w:r>
      <w:r>
        <w:rPr>
          <w:rFonts w:hint="eastAsia" w:ascii="宋体" w:hAnsi="宋体" w:cs="宋体"/>
          <w:sz w:val="24"/>
          <w:szCs w:val="24"/>
        </w:rPr>
        <w:t>种以上耐药机制，并指出耐药机制种类。</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textAlignment w:val="auto"/>
        <w:outlineLvl w:val="9"/>
        <w:rPr>
          <w:rFonts w:ascii="宋体" w:cs="宋体"/>
          <w:sz w:val="24"/>
          <w:szCs w:val="24"/>
        </w:rPr>
      </w:pPr>
      <w:r>
        <w:rPr>
          <w:rFonts w:ascii="宋体" w:hAnsi="宋体" w:cs="宋体"/>
          <w:sz w:val="24"/>
          <w:szCs w:val="24"/>
        </w:rPr>
        <w:t>9.</w:t>
      </w:r>
      <w:r>
        <w:rPr>
          <w:rFonts w:hint="eastAsia" w:ascii="宋体" w:hAnsi="宋体" w:cs="宋体"/>
          <w:sz w:val="24"/>
          <w:szCs w:val="24"/>
        </w:rPr>
        <w:t>能提供</w:t>
      </w:r>
      <w:r>
        <w:rPr>
          <w:rFonts w:ascii="宋体" w:hAnsi="宋体" w:cs="宋体"/>
          <w:sz w:val="24"/>
          <w:szCs w:val="24"/>
        </w:rPr>
        <w:t xml:space="preserve">20000 </w:t>
      </w:r>
      <w:r>
        <w:rPr>
          <w:rFonts w:hint="eastAsia" w:ascii="宋体" w:hAnsi="宋体" w:cs="宋体"/>
          <w:sz w:val="24"/>
          <w:szCs w:val="24"/>
        </w:rPr>
        <w:t>个以上不同耐药机制的细菌对不同抗生素药敏</w:t>
      </w:r>
      <w:r>
        <w:rPr>
          <w:rFonts w:ascii="宋体" w:hAnsi="宋体" w:cs="宋体"/>
          <w:sz w:val="24"/>
          <w:szCs w:val="24"/>
        </w:rPr>
        <w:t>MIC</w:t>
      </w:r>
      <w:r>
        <w:rPr>
          <w:rFonts w:hint="eastAsia" w:ascii="宋体" w:hAnsi="宋体" w:cs="宋体"/>
          <w:sz w:val="24"/>
          <w:szCs w:val="24"/>
        </w:rPr>
        <w:t>分布直方图。</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textAlignment w:val="auto"/>
        <w:outlineLvl w:val="9"/>
        <w:rPr>
          <w:rFonts w:ascii="宋体" w:cs="宋体"/>
          <w:sz w:val="24"/>
          <w:szCs w:val="24"/>
        </w:rPr>
      </w:pPr>
      <w:r>
        <w:rPr>
          <w:rFonts w:ascii="宋体" w:hAnsi="宋体" w:cs="宋体"/>
          <w:sz w:val="24"/>
          <w:szCs w:val="24"/>
        </w:rPr>
        <w:t>10.</w:t>
      </w:r>
      <w:r>
        <w:rPr>
          <w:rFonts w:hint="eastAsia" w:ascii="宋体" w:hAnsi="宋体" w:cs="宋体"/>
          <w:sz w:val="24"/>
          <w:szCs w:val="24"/>
        </w:rPr>
        <w:t>随时动态报告单个已完成药敏试验的抗生素的药敏结果。</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textAlignment w:val="auto"/>
        <w:outlineLvl w:val="9"/>
        <w:rPr>
          <w:rFonts w:ascii="宋体" w:cs="宋体"/>
          <w:sz w:val="24"/>
          <w:szCs w:val="24"/>
        </w:rPr>
      </w:pPr>
      <w:r>
        <w:rPr>
          <w:rFonts w:hint="eastAsia" w:ascii="宋体" w:hAnsi="宋体" w:cs="宋体"/>
          <w:sz w:val="24"/>
          <w:szCs w:val="24"/>
          <w:lang w:eastAsia="zh-CN"/>
        </w:rPr>
        <w:t>★</w:t>
      </w:r>
      <w:r>
        <w:rPr>
          <w:rFonts w:ascii="宋体" w:hAnsi="宋体" w:cs="宋体"/>
          <w:sz w:val="24"/>
          <w:szCs w:val="24"/>
        </w:rPr>
        <w:t>11.</w:t>
      </w:r>
      <w:r>
        <w:rPr>
          <w:rFonts w:hint="eastAsia" w:ascii="宋体" w:hAnsi="宋体" w:cs="宋体"/>
          <w:sz w:val="24"/>
          <w:szCs w:val="24"/>
        </w:rPr>
        <w:t>只需手工调试鉴定菌液浓度，不需再添加任何附加试剂。</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textAlignment w:val="auto"/>
        <w:outlineLvl w:val="9"/>
        <w:rPr>
          <w:rFonts w:ascii="宋体" w:cs="宋体"/>
          <w:sz w:val="24"/>
          <w:szCs w:val="24"/>
        </w:rPr>
      </w:pPr>
      <w:r>
        <w:rPr>
          <w:rFonts w:ascii="宋体" w:hAnsi="宋体" w:cs="宋体"/>
          <w:sz w:val="24"/>
          <w:szCs w:val="24"/>
        </w:rPr>
        <w:t>12.</w:t>
      </w:r>
      <w:r>
        <w:rPr>
          <w:rFonts w:hint="eastAsia" w:ascii="宋体" w:hAnsi="宋体" w:cs="宋体"/>
          <w:sz w:val="24"/>
          <w:szCs w:val="24"/>
        </w:rPr>
        <w:t>鉴定卡、药敏卡采用封闭式设计，以最大程度保证生物安全性。</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textAlignment w:val="auto"/>
        <w:outlineLvl w:val="9"/>
        <w:rPr>
          <w:rFonts w:ascii="宋体" w:cs="宋体"/>
          <w:sz w:val="24"/>
          <w:szCs w:val="24"/>
        </w:rPr>
      </w:pPr>
      <w:r>
        <w:rPr>
          <w:rFonts w:ascii="宋体" w:hAnsi="宋体" w:cs="宋体"/>
          <w:sz w:val="24"/>
          <w:szCs w:val="24"/>
        </w:rPr>
        <w:t>13.</w:t>
      </w:r>
      <w:r>
        <w:rPr>
          <w:rFonts w:hint="eastAsia" w:ascii="宋体" w:hAnsi="宋体" w:cs="宋体"/>
          <w:sz w:val="24"/>
          <w:szCs w:val="24"/>
        </w:rPr>
        <w:t>仪器自动化程度高，且批量化完成操作，每次接种不少于</w:t>
      </w:r>
      <w:r>
        <w:rPr>
          <w:rFonts w:ascii="宋体" w:hAnsi="宋体" w:cs="宋体"/>
          <w:sz w:val="24"/>
          <w:szCs w:val="24"/>
        </w:rPr>
        <w:t>10</w:t>
      </w:r>
      <w:r>
        <w:rPr>
          <w:rFonts w:hint="eastAsia" w:ascii="宋体" w:hAnsi="宋体" w:cs="宋体"/>
          <w:sz w:val="24"/>
          <w:szCs w:val="24"/>
        </w:rPr>
        <w:t>张卡片；绝大多数步骤由仪器自动完成：鉴定卡、药敏卡从装载、填充菌液接种、切割到卸载卡片都由仪器自动完成。</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textAlignment w:val="auto"/>
        <w:outlineLvl w:val="9"/>
        <w:rPr>
          <w:rFonts w:ascii="宋体" w:cs="宋体"/>
          <w:sz w:val="24"/>
          <w:szCs w:val="24"/>
        </w:rPr>
      </w:pPr>
      <w:r>
        <w:rPr>
          <w:rFonts w:ascii="宋体" w:hAnsi="宋体" w:cs="宋体"/>
          <w:sz w:val="24"/>
          <w:szCs w:val="24"/>
        </w:rPr>
        <w:t>14.</w:t>
      </w:r>
      <w:r>
        <w:rPr>
          <w:rFonts w:hint="eastAsia" w:ascii="宋体" w:hAnsi="宋体" w:cs="宋体"/>
          <w:sz w:val="24"/>
          <w:szCs w:val="24"/>
        </w:rPr>
        <w:t>能检测低水平耐药。可推测一部分未参加药敏试验的抗生素的敏感性，能通过抗生素的药敏试验结果可预测几种甚至几十种抗生素的耐药性。</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textAlignment w:val="auto"/>
        <w:outlineLvl w:val="9"/>
        <w:rPr>
          <w:rFonts w:ascii="宋体" w:cs="宋体"/>
          <w:sz w:val="24"/>
          <w:szCs w:val="24"/>
        </w:rPr>
      </w:pPr>
      <w:r>
        <w:rPr>
          <w:rFonts w:ascii="宋体" w:hAnsi="宋体" w:cs="宋体"/>
          <w:sz w:val="24"/>
          <w:szCs w:val="24"/>
        </w:rPr>
        <w:t>15.</w:t>
      </w:r>
      <w:r>
        <w:rPr>
          <w:rFonts w:hint="eastAsia" w:ascii="宋体" w:hAnsi="宋体" w:cs="宋体"/>
          <w:sz w:val="24"/>
          <w:szCs w:val="24"/>
        </w:rPr>
        <w:t>鉴定、药敏卡片采用分开式。</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textAlignment w:val="auto"/>
        <w:outlineLvl w:val="9"/>
        <w:rPr>
          <w:rFonts w:ascii="宋体" w:cs="宋体"/>
          <w:sz w:val="24"/>
          <w:szCs w:val="24"/>
        </w:rPr>
      </w:pPr>
      <w:r>
        <w:rPr>
          <w:rFonts w:ascii="宋体" w:hAnsi="宋体" w:cs="宋体"/>
          <w:sz w:val="24"/>
          <w:szCs w:val="24"/>
        </w:rPr>
        <w:t>16.</w:t>
      </w:r>
      <w:r>
        <w:rPr>
          <w:rFonts w:hint="eastAsia" w:ascii="宋体" w:hAnsi="宋体" w:cs="宋体"/>
          <w:sz w:val="24"/>
          <w:szCs w:val="24"/>
        </w:rPr>
        <w:t>仪器容量：卡位数≥</w:t>
      </w:r>
      <w:r>
        <w:rPr>
          <w:rFonts w:ascii="宋体" w:hAnsi="宋体" w:cs="宋体"/>
          <w:sz w:val="24"/>
          <w:szCs w:val="24"/>
        </w:rPr>
        <w:t>100</w:t>
      </w:r>
      <w:r>
        <w:rPr>
          <w:rFonts w:hint="eastAsia" w:ascii="宋体" w:hAnsi="宋体" w:cs="宋体"/>
          <w:sz w:val="24"/>
          <w:szCs w:val="24"/>
        </w:rPr>
        <w:t>个。</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textAlignment w:val="auto"/>
        <w:outlineLvl w:val="9"/>
        <w:rPr>
          <w:rFonts w:ascii="宋体" w:cs="宋体"/>
          <w:sz w:val="24"/>
          <w:szCs w:val="24"/>
        </w:rPr>
      </w:pPr>
      <w:r>
        <w:rPr>
          <w:rFonts w:ascii="宋体" w:hAnsi="宋体" w:cs="宋体"/>
          <w:sz w:val="24"/>
          <w:szCs w:val="24"/>
        </w:rPr>
        <w:t>17.</w:t>
      </w:r>
      <w:r>
        <w:rPr>
          <w:rFonts w:hint="eastAsia" w:ascii="宋体" w:hAnsi="宋体" w:cs="宋体"/>
          <w:sz w:val="24"/>
          <w:szCs w:val="24"/>
        </w:rPr>
        <w:t>针对治疗给出抗生素的用药意见。</w:t>
      </w:r>
    </w:p>
    <w:p>
      <w:pPr>
        <w:keepNext w:val="0"/>
        <w:keepLines w:val="0"/>
        <w:pageBreakBefore w:val="0"/>
        <w:widowControl w:val="0"/>
        <w:tabs>
          <w:tab w:val="left" w:pos="210"/>
          <w:tab w:val="left" w:pos="420"/>
          <w:tab w:val="left" w:pos="630"/>
        </w:tabs>
        <w:kinsoku/>
        <w:wordWrap/>
        <w:overflowPunct/>
        <w:topLinePunct w:val="0"/>
        <w:autoSpaceDE/>
        <w:autoSpaceDN/>
        <w:bidi w:val="0"/>
        <w:adjustRightInd/>
        <w:snapToGrid/>
        <w:spacing w:line="360" w:lineRule="auto"/>
        <w:ind w:left="0" w:right="0" w:rightChars="0" w:firstLine="0" w:firstLineChars="0"/>
        <w:textAlignment w:val="auto"/>
        <w:outlineLvl w:val="9"/>
        <w:rPr>
          <w:rFonts w:ascii="宋体" w:cs="宋体"/>
          <w:sz w:val="24"/>
          <w:szCs w:val="24"/>
        </w:rPr>
      </w:pPr>
      <w:r>
        <w:rPr>
          <w:rFonts w:ascii="宋体" w:hAnsi="宋体" w:cs="宋体"/>
          <w:sz w:val="24"/>
          <w:szCs w:val="24"/>
        </w:rPr>
        <w:t>18.</w:t>
      </w:r>
      <w:r>
        <w:rPr>
          <w:rFonts w:hint="eastAsia" w:ascii="宋体" w:hAnsi="宋体" w:cs="宋体"/>
          <w:sz w:val="24"/>
          <w:szCs w:val="24"/>
        </w:rPr>
        <w:t>推测已检出的致病菌对每一种抗生素的耐药表型及详细解释该细菌对每一大类抗生素、每一种抗生素的耐药机理。</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textAlignment w:val="auto"/>
        <w:outlineLvl w:val="9"/>
        <w:rPr>
          <w:rFonts w:ascii="宋体" w:cs="宋体"/>
          <w:sz w:val="24"/>
          <w:szCs w:val="24"/>
        </w:rPr>
      </w:pPr>
      <w:r>
        <w:rPr>
          <w:rFonts w:ascii="宋体" w:hAnsi="宋体" w:cs="宋体"/>
          <w:sz w:val="24"/>
          <w:szCs w:val="24"/>
        </w:rPr>
        <w:t>19.</w:t>
      </w:r>
      <w:r>
        <w:rPr>
          <w:rFonts w:hint="eastAsia" w:ascii="宋体" w:hAnsi="宋体" w:cs="宋体"/>
          <w:sz w:val="24"/>
          <w:szCs w:val="24"/>
        </w:rPr>
        <w:t>具有完善的中文统计功能和中文报告系统，中文报告系统的数据能与</w:t>
      </w:r>
      <w:r>
        <w:rPr>
          <w:rFonts w:ascii="宋体" w:hAnsi="宋体" w:cs="宋体"/>
          <w:sz w:val="24"/>
          <w:szCs w:val="24"/>
        </w:rPr>
        <w:t>Whonet</w:t>
      </w:r>
      <w:r>
        <w:rPr>
          <w:rFonts w:hint="eastAsia" w:ascii="宋体" w:hAnsi="宋体" w:cs="宋体"/>
          <w:sz w:val="24"/>
          <w:szCs w:val="24"/>
        </w:rPr>
        <w:t>统计软件联网。</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0" w:firstLineChars="0"/>
        <w:textAlignment w:val="auto"/>
        <w:outlineLvl w:val="9"/>
        <w:rPr>
          <w:rFonts w:hint="eastAsia" w:ascii="宋体" w:hAnsi="宋体" w:cs="宋体"/>
          <w:b w:val="0"/>
          <w:bCs/>
          <w:sz w:val="24"/>
          <w:lang w:val="en-US" w:eastAsia="zh-CN"/>
        </w:rPr>
      </w:pPr>
      <w:r>
        <w:rPr>
          <w:rFonts w:hint="eastAsia" w:ascii="宋体" w:hAnsi="宋体" w:cs="宋体"/>
          <w:b w:val="0"/>
          <w:bCs/>
          <w:sz w:val="24"/>
          <w:lang w:val="en-US" w:eastAsia="zh-CN"/>
        </w:rPr>
        <w:t>20.高压灭菌器3套</w:t>
      </w:r>
    </w:p>
    <w:p>
      <w:pPr>
        <w:keepNext w:val="0"/>
        <w:keepLines w:val="0"/>
        <w:pageBreakBefore w:val="0"/>
        <w:widowControl w:val="0"/>
        <w:tabs>
          <w:tab w:val="left" w:pos="8190"/>
        </w:tabs>
        <w:kinsoku/>
        <w:wordWrap/>
        <w:overflowPunct/>
        <w:topLinePunct w:val="0"/>
        <w:autoSpaceDE/>
        <w:autoSpaceDN/>
        <w:bidi w:val="0"/>
        <w:adjustRightInd/>
        <w:snapToGrid/>
        <w:spacing w:line="360" w:lineRule="auto"/>
        <w:ind w:left="0" w:right="0" w:rightChars="0" w:firstLine="0" w:firstLineChars="0"/>
        <w:jc w:val="left"/>
        <w:textAlignment w:val="auto"/>
        <w:outlineLvl w:val="9"/>
        <w:rPr>
          <w:rFonts w:ascii="宋体" w:cs="宋体"/>
          <w:sz w:val="24"/>
          <w:szCs w:val="24"/>
        </w:rPr>
      </w:pPr>
      <w:r>
        <w:rPr>
          <w:rFonts w:hint="eastAsia" w:ascii="宋体" w:hAnsi="宋体" w:cs="宋体"/>
          <w:sz w:val="24"/>
          <w:szCs w:val="24"/>
          <w:lang w:val="en-US" w:eastAsia="zh-CN"/>
        </w:rPr>
        <w:t>20.1</w:t>
      </w:r>
      <w:r>
        <w:rPr>
          <w:rFonts w:hint="eastAsia" w:ascii="宋体" w:hAnsi="宋体" w:cs="宋体"/>
          <w:sz w:val="24"/>
          <w:szCs w:val="24"/>
        </w:rPr>
        <w:t>容积≥</w:t>
      </w:r>
      <w:r>
        <w:rPr>
          <w:rFonts w:ascii="宋体" w:hAnsi="宋体" w:cs="宋体"/>
          <w:sz w:val="24"/>
          <w:szCs w:val="24"/>
        </w:rPr>
        <w:t>50L</w:t>
      </w:r>
      <w:r>
        <w:rPr>
          <w:rFonts w:hint="eastAsia" w:ascii="宋体" w:hAnsi="宋体" w:cs="宋体"/>
          <w:sz w:val="24"/>
          <w:szCs w:val="24"/>
        </w:rPr>
        <w:t>，动力消耗≤</w:t>
      </w:r>
      <w:r>
        <w:rPr>
          <w:rFonts w:ascii="宋体" w:hAnsi="宋体" w:cs="宋体"/>
          <w:sz w:val="24"/>
          <w:szCs w:val="24"/>
        </w:rPr>
        <w:t xml:space="preserve">2.0kW </w:t>
      </w:r>
      <w:r>
        <w:rPr>
          <w:rFonts w:hint="eastAsia" w:ascii="宋体" w:hAnsi="宋体" w:cs="宋体"/>
          <w:sz w:val="24"/>
          <w:szCs w:val="24"/>
        </w:rPr>
        <w:t>。</w:t>
      </w:r>
    </w:p>
    <w:p>
      <w:pPr>
        <w:keepNext w:val="0"/>
        <w:keepLines w:val="0"/>
        <w:pageBreakBefore w:val="0"/>
        <w:widowControl w:val="0"/>
        <w:tabs>
          <w:tab w:val="left" w:pos="8190"/>
        </w:tabs>
        <w:kinsoku/>
        <w:wordWrap/>
        <w:overflowPunct/>
        <w:topLinePunct w:val="0"/>
        <w:autoSpaceDE/>
        <w:autoSpaceDN/>
        <w:bidi w:val="0"/>
        <w:adjustRightInd/>
        <w:snapToGrid/>
        <w:spacing w:line="360" w:lineRule="auto"/>
        <w:ind w:left="0" w:right="0" w:rightChars="0" w:firstLine="0" w:firstLineChars="0"/>
        <w:jc w:val="left"/>
        <w:textAlignment w:val="auto"/>
        <w:outlineLvl w:val="9"/>
        <w:rPr>
          <w:rFonts w:ascii="宋体" w:cs="宋体"/>
          <w:sz w:val="24"/>
          <w:szCs w:val="24"/>
        </w:rPr>
      </w:pPr>
      <w:r>
        <w:rPr>
          <w:rFonts w:ascii="宋体" w:hAnsi="宋体" w:cs="宋体"/>
          <w:sz w:val="24"/>
          <w:szCs w:val="24"/>
        </w:rPr>
        <w:t>2</w:t>
      </w:r>
      <w:r>
        <w:rPr>
          <w:rFonts w:hint="eastAsia" w:ascii="宋体" w:hAnsi="宋体" w:cs="宋体"/>
          <w:sz w:val="24"/>
          <w:szCs w:val="24"/>
          <w:lang w:val="en-US" w:eastAsia="zh-CN"/>
        </w:rPr>
        <w:t>0.2</w:t>
      </w:r>
      <w:r>
        <w:rPr>
          <w:rFonts w:hint="eastAsia" w:ascii="宋体" w:hAnsi="宋体" w:cs="宋体"/>
          <w:sz w:val="24"/>
          <w:szCs w:val="24"/>
        </w:rPr>
        <w:t>温度显示范围涵盖</w:t>
      </w:r>
      <w:r>
        <w:rPr>
          <w:rFonts w:ascii="宋体" w:hAnsi="宋体" w:cs="宋体"/>
          <w:sz w:val="24"/>
          <w:szCs w:val="24"/>
        </w:rPr>
        <w:t>5</w:t>
      </w:r>
      <w:r>
        <w:rPr>
          <w:rFonts w:hint="eastAsia" w:ascii="宋体" w:hAnsi="宋体" w:cs="宋体"/>
          <w:sz w:val="24"/>
          <w:szCs w:val="24"/>
        </w:rPr>
        <w:t>～</w:t>
      </w:r>
      <w:r>
        <w:rPr>
          <w:rFonts w:ascii="宋体" w:hAnsi="宋体" w:cs="宋体"/>
          <w:sz w:val="24"/>
          <w:szCs w:val="24"/>
        </w:rPr>
        <w:t>135</w:t>
      </w:r>
      <w:r>
        <w:rPr>
          <w:rFonts w:hint="eastAsia" w:ascii="宋体" w:hAnsi="宋体" w:cs="宋体"/>
          <w:sz w:val="24"/>
          <w:szCs w:val="24"/>
        </w:rPr>
        <w:t>℃；最高灭菌温度≥</w:t>
      </w:r>
      <w:r>
        <w:rPr>
          <w:rFonts w:ascii="宋体" w:hAnsi="宋体" w:cs="宋体"/>
          <w:sz w:val="24"/>
          <w:szCs w:val="24"/>
        </w:rPr>
        <w:t>135</w:t>
      </w:r>
      <w:r>
        <w:rPr>
          <w:rFonts w:hint="eastAsia" w:ascii="宋体" w:hAnsi="宋体" w:cs="宋体"/>
          <w:sz w:val="24"/>
          <w:szCs w:val="24"/>
        </w:rPr>
        <w:t>℃。</w:t>
      </w:r>
    </w:p>
    <w:p>
      <w:pPr>
        <w:keepNext w:val="0"/>
        <w:keepLines w:val="0"/>
        <w:pageBreakBefore w:val="0"/>
        <w:widowControl w:val="0"/>
        <w:tabs>
          <w:tab w:val="left" w:pos="8190"/>
        </w:tabs>
        <w:kinsoku/>
        <w:wordWrap/>
        <w:overflowPunct/>
        <w:topLinePunct w:val="0"/>
        <w:autoSpaceDE/>
        <w:autoSpaceDN/>
        <w:bidi w:val="0"/>
        <w:adjustRightInd/>
        <w:snapToGrid/>
        <w:spacing w:line="360" w:lineRule="auto"/>
        <w:ind w:left="0" w:right="0" w:rightChars="0" w:firstLine="0" w:firstLineChars="0"/>
        <w:jc w:val="left"/>
        <w:textAlignment w:val="auto"/>
        <w:outlineLvl w:val="9"/>
        <w:rPr>
          <w:rFonts w:ascii="宋体" w:cs="宋体"/>
          <w:sz w:val="24"/>
          <w:szCs w:val="24"/>
        </w:rPr>
      </w:pPr>
      <w:r>
        <w:rPr>
          <w:rFonts w:hint="eastAsia" w:ascii="宋体" w:hAnsi="宋体" w:cs="宋体"/>
          <w:sz w:val="24"/>
          <w:szCs w:val="24"/>
          <w:lang w:val="en-US" w:eastAsia="zh-CN"/>
        </w:rPr>
        <w:t>20.3</w:t>
      </w:r>
      <w:r>
        <w:rPr>
          <w:rFonts w:hint="eastAsia" w:ascii="宋体" w:hAnsi="宋体" w:cs="宋体"/>
          <w:sz w:val="24"/>
          <w:szCs w:val="24"/>
        </w:rPr>
        <w:t>保温温度范围涵盖</w:t>
      </w:r>
      <w:r>
        <w:rPr>
          <w:rFonts w:ascii="宋体" w:hAnsi="宋体" w:cs="宋体"/>
          <w:sz w:val="24"/>
          <w:szCs w:val="24"/>
        </w:rPr>
        <w:t>45</w:t>
      </w:r>
      <w:r>
        <w:rPr>
          <w:rFonts w:hint="eastAsia" w:ascii="宋体" w:hAnsi="宋体" w:cs="宋体"/>
          <w:sz w:val="24"/>
          <w:szCs w:val="24"/>
        </w:rPr>
        <w:t>～</w:t>
      </w:r>
      <w:r>
        <w:rPr>
          <w:rFonts w:ascii="宋体" w:hAnsi="宋体" w:cs="宋体"/>
          <w:sz w:val="24"/>
          <w:szCs w:val="24"/>
        </w:rPr>
        <w:t>60</w:t>
      </w:r>
      <w:r>
        <w:rPr>
          <w:rFonts w:hint="eastAsia" w:ascii="宋体" w:hAnsi="宋体" w:cs="宋体"/>
          <w:sz w:val="24"/>
          <w:szCs w:val="24"/>
        </w:rPr>
        <w:t>℃。</w:t>
      </w:r>
    </w:p>
    <w:p>
      <w:pPr>
        <w:keepNext w:val="0"/>
        <w:keepLines w:val="0"/>
        <w:pageBreakBefore w:val="0"/>
        <w:widowControl w:val="0"/>
        <w:tabs>
          <w:tab w:val="left" w:pos="8190"/>
        </w:tabs>
        <w:kinsoku/>
        <w:wordWrap/>
        <w:overflowPunct/>
        <w:topLinePunct w:val="0"/>
        <w:autoSpaceDE/>
        <w:autoSpaceDN/>
        <w:bidi w:val="0"/>
        <w:adjustRightInd/>
        <w:snapToGrid/>
        <w:spacing w:line="360" w:lineRule="auto"/>
        <w:ind w:left="0" w:right="0" w:rightChars="0" w:firstLine="0" w:firstLineChars="0"/>
        <w:jc w:val="left"/>
        <w:textAlignment w:val="auto"/>
        <w:outlineLvl w:val="9"/>
        <w:rPr>
          <w:rFonts w:ascii="宋体" w:cs="宋体"/>
          <w:sz w:val="24"/>
          <w:szCs w:val="24"/>
        </w:rPr>
      </w:pPr>
      <w:r>
        <w:rPr>
          <w:rFonts w:hint="eastAsia" w:ascii="宋体" w:hAnsi="宋体" w:cs="宋体"/>
          <w:sz w:val="24"/>
          <w:szCs w:val="24"/>
          <w:lang w:val="en-US" w:eastAsia="zh-CN"/>
        </w:rPr>
        <w:t>20.4</w:t>
      </w:r>
      <w:r>
        <w:rPr>
          <w:rFonts w:hint="eastAsia" w:ascii="宋体" w:hAnsi="宋体" w:cs="宋体"/>
          <w:sz w:val="24"/>
          <w:szCs w:val="24"/>
        </w:rPr>
        <w:t>记忆储存支持系统：可以自定义各项参数，且运行发生异常时已设置参数可自动保存。</w:t>
      </w:r>
    </w:p>
    <w:p>
      <w:pPr>
        <w:keepNext w:val="0"/>
        <w:keepLines w:val="0"/>
        <w:pageBreakBefore w:val="0"/>
        <w:widowControl w:val="0"/>
        <w:tabs>
          <w:tab w:val="left" w:pos="8190"/>
        </w:tabs>
        <w:kinsoku/>
        <w:wordWrap/>
        <w:overflowPunct/>
        <w:topLinePunct w:val="0"/>
        <w:autoSpaceDE/>
        <w:autoSpaceDN/>
        <w:bidi w:val="0"/>
        <w:adjustRightInd/>
        <w:snapToGrid/>
        <w:spacing w:line="360" w:lineRule="auto"/>
        <w:ind w:left="0" w:right="0" w:rightChars="0" w:firstLine="0" w:firstLineChars="0"/>
        <w:jc w:val="left"/>
        <w:textAlignment w:val="auto"/>
        <w:outlineLvl w:val="9"/>
        <w:rPr>
          <w:rFonts w:ascii="宋体" w:cs="宋体"/>
          <w:sz w:val="24"/>
          <w:szCs w:val="24"/>
        </w:rPr>
      </w:pPr>
      <w:r>
        <w:rPr>
          <w:rFonts w:hint="eastAsia" w:ascii="宋体" w:hAnsi="宋体" w:cs="宋体"/>
          <w:sz w:val="24"/>
          <w:szCs w:val="24"/>
          <w:lang w:val="en-US" w:eastAsia="zh-CN"/>
        </w:rPr>
        <w:t>20.5</w:t>
      </w:r>
      <w:r>
        <w:rPr>
          <w:rFonts w:hint="eastAsia" w:ascii="宋体" w:hAnsi="宋体" w:cs="宋体"/>
          <w:sz w:val="24"/>
          <w:szCs w:val="24"/>
        </w:rPr>
        <w:t>压力计量程涵盖</w:t>
      </w:r>
      <w:r>
        <w:rPr>
          <w:rFonts w:ascii="宋体" w:cs="宋体"/>
          <w:sz w:val="24"/>
          <w:szCs w:val="24"/>
        </w:rPr>
        <w:t>0</w:t>
      </w:r>
      <w:r>
        <w:rPr>
          <w:rFonts w:hint="eastAsia" w:ascii="宋体" w:hAnsi="宋体" w:cs="宋体"/>
          <w:sz w:val="24"/>
          <w:szCs w:val="24"/>
        </w:rPr>
        <w:t>～</w:t>
      </w:r>
      <w:r>
        <w:rPr>
          <w:rFonts w:ascii="宋体" w:hAnsi="宋体" w:cs="宋体"/>
          <w:sz w:val="24"/>
          <w:szCs w:val="24"/>
        </w:rPr>
        <w:t>0.4Mpa</w:t>
      </w:r>
      <w:r>
        <w:rPr>
          <w:rFonts w:hint="eastAsia" w:ascii="宋体" w:hAnsi="宋体" w:cs="宋体"/>
          <w:sz w:val="24"/>
          <w:szCs w:val="24"/>
        </w:rPr>
        <w:t>；最大可允许压力≥</w:t>
      </w:r>
      <w:r>
        <w:rPr>
          <w:rFonts w:ascii="宋体" w:hAnsi="宋体" w:cs="宋体"/>
          <w:sz w:val="24"/>
          <w:szCs w:val="24"/>
        </w:rPr>
        <w:t>0.25Mpa</w:t>
      </w:r>
      <w:r>
        <w:rPr>
          <w:rFonts w:hint="eastAsia" w:ascii="宋体" w:hAnsi="宋体" w:cs="宋体"/>
          <w:sz w:val="24"/>
          <w:szCs w:val="24"/>
        </w:rPr>
        <w:t>。</w:t>
      </w:r>
    </w:p>
    <w:p>
      <w:pPr>
        <w:keepNext w:val="0"/>
        <w:keepLines w:val="0"/>
        <w:pageBreakBefore w:val="0"/>
        <w:widowControl w:val="0"/>
        <w:tabs>
          <w:tab w:val="left" w:pos="8190"/>
        </w:tabs>
        <w:kinsoku/>
        <w:wordWrap/>
        <w:overflowPunct/>
        <w:topLinePunct w:val="0"/>
        <w:autoSpaceDE/>
        <w:autoSpaceDN/>
        <w:bidi w:val="0"/>
        <w:adjustRightInd/>
        <w:snapToGrid/>
        <w:spacing w:line="360" w:lineRule="auto"/>
        <w:ind w:left="0" w:right="0" w:rightChars="0" w:firstLine="0" w:firstLineChars="0"/>
        <w:jc w:val="left"/>
        <w:textAlignment w:val="auto"/>
        <w:outlineLvl w:val="9"/>
        <w:rPr>
          <w:rFonts w:ascii="宋体" w:cs="宋体"/>
          <w:sz w:val="24"/>
          <w:szCs w:val="24"/>
        </w:rPr>
      </w:pPr>
      <w:r>
        <w:rPr>
          <w:rFonts w:hint="eastAsia" w:ascii="宋体" w:hAnsi="宋体" w:cs="宋体"/>
          <w:sz w:val="24"/>
          <w:szCs w:val="24"/>
          <w:lang w:val="en-US" w:eastAsia="zh-CN"/>
        </w:rPr>
        <w:t>20.6</w:t>
      </w:r>
      <w:r>
        <w:rPr>
          <w:rFonts w:hint="eastAsia" w:ascii="宋体" w:hAnsi="宋体" w:cs="宋体"/>
          <w:sz w:val="24"/>
          <w:szCs w:val="24"/>
        </w:rPr>
        <w:t>电动锁系统采用触摸式控制器，外盖具备隔热保护装置，避免烫伤。</w:t>
      </w:r>
    </w:p>
    <w:p>
      <w:pPr>
        <w:keepNext w:val="0"/>
        <w:keepLines w:val="0"/>
        <w:pageBreakBefore w:val="0"/>
        <w:widowControl w:val="0"/>
        <w:tabs>
          <w:tab w:val="left" w:pos="8190"/>
        </w:tabs>
        <w:kinsoku/>
        <w:wordWrap/>
        <w:overflowPunct/>
        <w:topLinePunct w:val="0"/>
        <w:autoSpaceDE/>
        <w:autoSpaceDN/>
        <w:bidi w:val="0"/>
        <w:adjustRightInd/>
        <w:snapToGrid/>
        <w:spacing w:line="360" w:lineRule="auto"/>
        <w:ind w:left="0" w:right="0" w:rightChars="0" w:firstLine="0" w:firstLineChars="0"/>
        <w:jc w:val="left"/>
        <w:textAlignment w:val="auto"/>
        <w:outlineLvl w:val="9"/>
        <w:rPr>
          <w:rFonts w:ascii="宋体" w:cs="宋体"/>
          <w:sz w:val="24"/>
          <w:szCs w:val="24"/>
        </w:rPr>
      </w:pPr>
      <w:r>
        <w:rPr>
          <w:rFonts w:hint="eastAsia" w:ascii="宋体" w:hAnsi="宋体" w:cs="宋体"/>
          <w:sz w:val="24"/>
          <w:szCs w:val="24"/>
          <w:lang w:val="en-US" w:eastAsia="zh-CN"/>
        </w:rPr>
        <w:t>20.7</w:t>
      </w:r>
      <w:r>
        <w:rPr>
          <w:rFonts w:hint="eastAsia" w:ascii="宋体" w:hAnsi="宋体" w:cs="宋体"/>
          <w:sz w:val="24"/>
          <w:szCs w:val="24"/>
        </w:rPr>
        <w:t>具备双联排气检测系统，同时检测腔内压力和温度。</w:t>
      </w:r>
    </w:p>
    <w:p>
      <w:pPr>
        <w:keepNext w:val="0"/>
        <w:keepLines w:val="0"/>
        <w:pageBreakBefore w:val="0"/>
        <w:widowControl w:val="0"/>
        <w:tabs>
          <w:tab w:val="left" w:pos="8190"/>
        </w:tabs>
        <w:kinsoku/>
        <w:wordWrap/>
        <w:overflowPunct/>
        <w:topLinePunct w:val="0"/>
        <w:autoSpaceDE/>
        <w:autoSpaceDN/>
        <w:bidi w:val="0"/>
        <w:adjustRightInd/>
        <w:snapToGrid/>
        <w:spacing w:line="360" w:lineRule="auto"/>
        <w:ind w:left="0" w:right="0" w:rightChars="0" w:firstLine="0" w:firstLineChars="0"/>
        <w:jc w:val="left"/>
        <w:textAlignment w:val="auto"/>
        <w:outlineLvl w:val="9"/>
        <w:rPr>
          <w:rFonts w:ascii="宋体" w:cs="宋体"/>
          <w:sz w:val="24"/>
          <w:szCs w:val="24"/>
        </w:rPr>
      </w:pPr>
      <w:r>
        <w:rPr>
          <w:rFonts w:hint="eastAsia" w:ascii="宋体" w:hAnsi="宋体" w:cs="宋体"/>
          <w:sz w:val="24"/>
          <w:szCs w:val="24"/>
          <w:lang w:val="en-US" w:eastAsia="zh-CN"/>
        </w:rPr>
        <w:t>20.8</w:t>
      </w:r>
      <w:r>
        <w:rPr>
          <w:rFonts w:hint="eastAsia" w:ascii="宋体" w:hAnsi="宋体" w:cs="宋体"/>
          <w:sz w:val="24"/>
          <w:szCs w:val="24"/>
        </w:rPr>
        <w:t>脉冲排汽系统：电脑控制脉冲阀门开合。</w:t>
      </w:r>
    </w:p>
    <w:p>
      <w:pPr>
        <w:keepNext w:val="0"/>
        <w:keepLines w:val="0"/>
        <w:pageBreakBefore w:val="0"/>
        <w:widowControl w:val="0"/>
        <w:tabs>
          <w:tab w:val="left" w:pos="8190"/>
        </w:tabs>
        <w:kinsoku/>
        <w:wordWrap/>
        <w:overflowPunct/>
        <w:topLinePunct w:val="0"/>
        <w:autoSpaceDE/>
        <w:autoSpaceDN/>
        <w:bidi w:val="0"/>
        <w:adjustRightInd/>
        <w:snapToGrid/>
        <w:spacing w:line="360" w:lineRule="auto"/>
        <w:ind w:left="0" w:right="0" w:rightChars="0" w:firstLine="0" w:firstLineChars="0"/>
        <w:jc w:val="left"/>
        <w:textAlignment w:val="auto"/>
        <w:outlineLvl w:val="9"/>
        <w:rPr>
          <w:rFonts w:ascii="宋体" w:cs="宋体"/>
          <w:sz w:val="24"/>
          <w:szCs w:val="24"/>
        </w:rPr>
      </w:pPr>
      <w:r>
        <w:rPr>
          <w:rFonts w:hint="eastAsia" w:ascii="宋体" w:hAnsi="宋体" w:cs="宋体"/>
          <w:sz w:val="24"/>
          <w:szCs w:val="24"/>
          <w:lang w:val="en-US" w:eastAsia="zh-CN"/>
        </w:rPr>
        <w:t>20.9</w:t>
      </w:r>
      <w:r>
        <w:rPr>
          <w:rFonts w:hint="eastAsia" w:ascii="宋体" w:hAnsi="宋体" w:cs="宋体"/>
          <w:sz w:val="24"/>
          <w:szCs w:val="24"/>
        </w:rPr>
        <w:t>具备≥</w:t>
      </w:r>
      <w:r>
        <w:rPr>
          <w:rFonts w:ascii="宋体" w:hAnsi="宋体" w:cs="宋体"/>
          <w:sz w:val="24"/>
          <w:szCs w:val="24"/>
        </w:rPr>
        <w:t>3</w:t>
      </w:r>
      <w:r>
        <w:rPr>
          <w:rFonts w:hint="eastAsia" w:ascii="宋体" w:hAnsi="宋体" w:cs="宋体"/>
          <w:sz w:val="24"/>
          <w:szCs w:val="24"/>
        </w:rPr>
        <w:t>种灭菌选择模式，包括琼脂培养基灭菌、液体培养基灭菌、固体、医疗器皿灭菌等。</w:t>
      </w:r>
      <w:r>
        <w:rPr>
          <w:rFonts w:ascii="宋体" w:cs="宋体"/>
          <w:sz w:val="24"/>
          <w:szCs w:val="24"/>
        </w:rPr>
        <w:t>               </w:t>
      </w:r>
    </w:p>
    <w:p>
      <w:pPr>
        <w:keepNext w:val="0"/>
        <w:keepLines w:val="0"/>
        <w:pageBreakBefore w:val="0"/>
        <w:widowControl w:val="0"/>
        <w:tabs>
          <w:tab w:val="left" w:pos="8190"/>
        </w:tabs>
        <w:kinsoku/>
        <w:wordWrap/>
        <w:overflowPunct/>
        <w:topLinePunct w:val="0"/>
        <w:autoSpaceDE/>
        <w:autoSpaceDN/>
        <w:bidi w:val="0"/>
        <w:adjustRightInd/>
        <w:snapToGrid/>
        <w:spacing w:line="360" w:lineRule="auto"/>
        <w:ind w:left="0" w:right="0" w:rightChars="0" w:firstLine="0" w:firstLineChars="0"/>
        <w:jc w:val="left"/>
        <w:textAlignment w:val="auto"/>
        <w:outlineLvl w:val="9"/>
        <w:rPr>
          <w:rFonts w:ascii="宋体" w:cs="宋体"/>
          <w:sz w:val="24"/>
          <w:szCs w:val="24"/>
        </w:rPr>
      </w:pPr>
      <w:r>
        <w:rPr>
          <w:rFonts w:hint="eastAsia" w:ascii="宋体" w:hAnsi="宋体" w:cs="宋体"/>
          <w:sz w:val="24"/>
          <w:szCs w:val="24"/>
          <w:lang w:val="en-US" w:eastAsia="zh-CN"/>
        </w:rPr>
        <w:t>20.10</w:t>
      </w:r>
      <w:r>
        <w:rPr>
          <w:rFonts w:hint="eastAsia" w:ascii="宋体" w:hAnsi="宋体" w:cs="宋体"/>
          <w:sz w:val="24"/>
          <w:szCs w:val="24"/>
        </w:rPr>
        <w:t>安全功能设置及示警系统：</w:t>
      </w:r>
    </w:p>
    <w:p>
      <w:pPr>
        <w:keepNext w:val="0"/>
        <w:keepLines w:val="0"/>
        <w:pageBreakBefore w:val="0"/>
        <w:widowControl w:val="0"/>
        <w:tabs>
          <w:tab w:val="left" w:pos="8190"/>
        </w:tabs>
        <w:kinsoku/>
        <w:wordWrap/>
        <w:overflowPunct/>
        <w:topLinePunct w:val="0"/>
        <w:autoSpaceDE/>
        <w:autoSpaceDN/>
        <w:bidi w:val="0"/>
        <w:adjustRightInd/>
        <w:snapToGrid/>
        <w:spacing w:line="360" w:lineRule="auto"/>
        <w:ind w:left="0" w:right="0" w:rightChars="0" w:firstLine="0" w:firstLineChars="0"/>
        <w:jc w:val="left"/>
        <w:textAlignment w:val="auto"/>
        <w:outlineLvl w:val="9"/>
        <w:rPr>
          <w:rFonts w:ascii="宋体" w:cs="宋体"/>
          <w:sz w:val="24"/>
          <w:szCs w:val="24"/>
        </w:rPr>
      </w:pPr>
      <w:r>
        <w:rPr>
          <w:rFonts w:hint="eastAsia" w:ascii="宋体" w:hAnsi="宋体" w:cs="宋体"/>
          <w:sz w:val="24"/>
          <w:szCs w:val="24"/>
          <w:lang w:val="en-US" w:eastAsia="zh-CN"/>
        </w:rPr>
        <w:t>20.</w:t>
      </w:r>
      <w:r>
        <w:rPr>
          <w:rFonts w:ascii="宋体" w:hAnsi="宋体" w:cs="宋体"/>
          <w:sz w:val="24"/>
          <w:szCs w:val="24"/>
        </w:rPr>
        <w:t>10.1 </w:t>
      </w:r>
      <w:r>
        <w:rPr>
          <w:rFonts w:hint="eastAsia" w:ascii="宋体" w:hAnsi="宋体" w:cs="宋体"/>
          <w:sz w:val="24"/>
          <w:szCs w:val="24"/>
        </w:rPr>
        <w:t>双联锁盖系统；</w:t>
      </w:r>
    </w:p>
    <w:p>
      <w:pPr>
        <w:keepNext w:val="0"/>
        <w:keepLines w:val="0"/>
        <w:pageBreakBefore w:val="0"/>
        <w:widowControl w:val="0"/>
        <w:tabs>
          <w:tab w:val="left" w:pos="8190"/>
        </w:tabs>
        <w:kinsoku/>
        <w:wordWrap/>
        <w:overflowPunct/>
        <w:topLinePunct w:val="0"/>
        <w:autoSpaceDE/>
        <w:autoSpaceDN/>
        <w:bidi w:val="0"/>
        <w:adjustRightInd/>
        <w:snapToGrid/>
        <w:spacing w:line="360" w:lineRule="auto"/>
        <w:ind w:left="0" w:right="0" w:rightChars="0" w:firstLine="0" w:firstLineChars="0"/>
        <w:jc w:val="left"/>
        <w:textAlignment w:val="auto"/>
        <w:outlineLvl w:val="9"/>
        <w:rPr>
          <w:rFonts w:ascii="宋体" w:cs="宋体"/>
          <w:sz w:val="24"/>
          <w:szCs w:val="24"/>
        </w:rPr>
      </w:pPr>
      <w:r>
        <w:rPr>
          <w:rFonts w:hint="eastAsia" w:ascii="宋体" w:hAnsi="宋体" w:cs="宋体"/>
          <w:sz w:val="24"/>
          <w:szCs w:val="24"/>
          <w:lang w:val="en-US" w:eastAsia="zh-CN"/>
        </w:rPr>
        <w:t>20.</w:t>
      </w:r>
      <w:r>
        <w:rPr>
          <w:rFonts w:ascii="宋体" w:hAnsi="宋体" w:cs="宋体"/>
          <w:sz w:val="24"/>
          <w:szCs w:val="24"/>
        </w:rPr>
        <w:t>10.2 </w:t>
      </w:r>
      <w:r>
        <w:rPr>
          <w:rFonts w:hint="eastAsia" w:ascii="宋体" w:hAnsi="宋体" w:cs="宋体"/>
          <w:sz w:val="24"/>
          <w:szCs w:val="24"/>
        </w:rPr>
        <w:t>超温超压断电；</w:t>
      </w:r>
    </w:p>
    <w:p>
      <w:pPr>
        <w:keepNext w:val="0"/>
        <w:keepLines w:val="0"/>
        <w:pageBreakBefore w:val="0"/>
        <w:widowControl w:val="0"/>
        <w:tabs>
          <w:tab w:val="left" w:pos="8190"/>
        </w:tabs>
        <w:kinsoku/>
        <w:wordWrap/>
        <w:overflowPunct/>
        <w:topLinePunct w:val="0"/>
        <w:autoSpaceDE/>
        <w:autoSpaceDN/>
        <w:bidi w:val="0"/>
        <w:adjustRightInd/>
        <w:snapToGrid/>
        <w:spacing w:line="360" w:lineRule="auto"/>
        <w:ind w:left="0" w:right="0" w:rightChars="0" w:firstLine="0" w:firstLineChars="0"/>
        <w:jc w:val="left"/>
        <w:textAlignment w:val="auto"/>
        <w:outlineLvl w:val="9"/>
        <w:rPr>
          <w:rFonts w:ascii="宋体" w:cs="宋体"/>
          <w:sz w:val="24"/>
          <w:szCs w:val="24"/>
        </w:rPr>
      </w:pPr>
      <w:r>
        <w:rPr>
          <w:rFonts w:hint="eastAsia" w:ascii="宋体" w:hAnsi="宋体" w:cs="宋体"/>
          <w:sz w:val="24"/>
          <w:szCs w:val="24"/>
          <w:lang w:val="en-US" w:eastAsia="zh-CN"/>
        </w:rPr>
        <w:t>20.</w:t>
      </w:r>
      <w:r>
        <w:rPr>
          <w:rFonts w:ascii="宋体" w:hAnsi="宋体" w:cs="宋体"/>
          <w:sz w:val="24"/>
          <w:szCs w:val="24"/>
        </w:rPr>
        <w:t>10.3 </w:t>
      </w:r>
      <w:r>
        <w:rPr>
          <w:rFonts w:hint="eastAsia" w:ascii="宋体" w:hAnsi="宋体" w:cs="宋体"/>
          <w:sz w:val="24"/>
          <w:szCs w:val="24"/>
        </w:rPr>
        <w:t>热敏探头断路检测；</w:t>
      </w:r>
    </w:p>
    <w:p>
      <w:pPr>
        <w:keepNext w:val="0"/>
        <w:keepLines w:val="0"/>
        <w:pageBreakBefore w:val="0"/>
        <w:widowControl w:val="0"/>
        <w:tabs>
          <w:tab w:val="left" w:pos="8190"/>
        </w:tabs>
        <w:kinsoku/>
        <w:wordWrap/>
        <w:overflowPunct/>
        <w:topLinePunct w:val="0"/>
        <w:autoSpaceDE/>
        <w:autoSpaceDN/>
        <w:bidi w:val="0"/>
        <w:adjustRightInd/>
        <w:snapToGrid/>
        <w:spacing w:line="360" w:lineRule="auto"/>
        <w:ind w:left="0" w:right="0" w:rightChars="0" w:firstLine="0" w:firstLineChars="0"/>
        <w:jc w:val="left"/>
        <w:textAlignment w:val="auto"/>
        <w:outlineLvl w:val="9"/>
        <w:rPr>
          <w:rFonts w:ascii="宋体" w:cs="宋体"/>
          <w:sz w:val="24"/>
          <w:szCs w:val="24"/>
        </w:rPr>
      </w:pPr>
      <w:r>
        <w:rPr>
          <w:rFonts w:hint="eastAsia" w:ascii="宋体" w:hAnsi="宋体" w:cs="宋体"/>
          <w:sz w:val="24"/>
          <w:szCs w:val="24"/>
          <w:lang w:val="en-US" w:eastAsia="zh-CN"/>
        </w:rPr>
        <w:t>20.</w:t>
      </w:r>
      <w:r>
        <w:rPr>
          <w:rFonts w:ascii="宋体" w:hAnsi="宋体" w:cs="宋体"/>
          <w:sz w:val="24"/>
          <w:szCs w:val="24"/>
        </w:rPr>
        <w:t>10.4 </w:t>
      </w:r>
      <w:r>
        <w:rPr>
          <w:rFonts w:hint="eastAsia" w:ascii="宋体" w:hAnsi="宋体" w:cs="宋体"/>
          <w:sz w:val="24"/>
          <w:szCs w:val="24"/>
        </w:rPr>
        <w:t>灭菌时间读数定时器；</w:t>
      </w:r>
    </w:p>
    <w:p>
      <w:pPr>
        <w:keepNext w:val="0"/>
        <w:keepLines w:val="0"/>
        <w:pageBreakBefore w:val="0"/>
        <w:widowControl w:val="0"/>
        <w:tabs>
          <w:tab w:val="left" w:pos="8190"/>
        </w:tabs>
        <w:kinsoku/>
        <w:wordWrap/>
        <w:overflowPunct/>
        <w:topLinePunct w:val="0"/>
        <w:autoSpaceDE/>
        <w:autoSpaceDN/>
        <w:bidi w:val="0"/>
        <w:adjustRightInd/>
        <w:snapToGrid/>
        <w:spacing w:line="360" w:lineRule="auto"/>
        <w:ind w:left="0" w:right="0" w:rightChars="0" w:firstLine="0" w:firstLineChars="0"/>
        <w:jc w:val="left"/>
        <w:textAlignment w:val="auto"/>
        <w:outlineLvl w:val="9"/>
        <w:rPr>
          <w:rFonts w:ascii="宋体" w:cs="宋体"/>
          <w:sz w:val="24"/>
          <w:szCs w:val="24"/>
        </w:rPr>
      </w:pPr>
      <w:r>
        <w:rPr>
          <w:rFonts w:hint="eastAsia" w:ascii="宋体" w:hAnsi="宋体" w:cs="宋体"/>
          <w:sz w:val="24"/>
          <w:szCs w:val="24"/>
          <w:lang w:val="en-US" w:eastAsia="zh-CN"/>
        </w:rPr>
        <w:t>20.</w:t>
      </w:r>
      <w:r>
        <w:rPr>
          <w:rFonts w:ascii="宋体" w:hAnsi="宋体" w:cs="宋体"/>
          <w:sz w:val="24"/>
          <w:szCs w:val="24"/>
        </w:rPr>
        <w:t>10.5 </w:t>
      </w:r>
      <w:r>
        <w:rPr>
          <w:rFonts w:hint="eastAsia" w:ascii="宋体" w:hAnsi="宋体" w:cs="宋体"/>
          <w:sz w:val="24"/>
          <w:szCs w:val="24"/>
        </w:rPr>
        <w:t>缺水保护装置；</w:t>
      </w:r>
    </w:p>
    <w:p>
      <w:pPr>
        <w:keepNext w:val="0"/>
        <w:keepLines w:val="0"/>
        <w:pageBreakBefore w:val="0"/>
        <w:widowControl w:val="0"/>
        <w:tabs>
          <w:tab w:val="left" w:pos="8190"/>
        </w:tabs>
        <w:kinsoku/>
        <w:wordWrap/>
        <w:overflowPunct/>
        <w:topLinePunct w:val="0"/>
        <w:autoSpaceDE/>
        <w:autoSpaceDN/>
        <w:bidi w:val="0"/>
        <w:adjustRightInd/>
        <w:snapToGrid/>
        <w:spacing w:line="360" w:lineRule="auto"/>
        <w:ind w:left="0" w:right="0" w:rightChars="0" w:firstLine="0" w:firstLineChars="0"/>
        <w:jc w:val="left"/>
        <w:textAlignment w:val="auto"/>
        <w:outlineLvl w:val="9"/>
        <w:rPr>
          <w:rFonts w:ascii="宋体" w:cs="宋体"/>
          <w:sz w:val="24"/>
          <w:szCs w:val="24"/>
        </w:rPr>
      </w:pPr>
      <w:r>
        <w:rPr>
          <w:rFonts w:hint="eastAsia" w:ascii="宋体" w:hAnsi="宋体" w:cs="宋体"/>
          <w:sz w:val="24"/>
          <w:szCs w:val="24"/>
          <w:lang w:val="en-US" w:eastAsia="zh-CN"/>
        </w:rPr>
        <w:t>20.</w:t>
      </w:r>
      <w:r>
        <w:rPr>
          <w:rFonts w:ascii="宋体" w:hAnsi="宋体" w:cs="宋体"/>
          <w:sz w:val="24"/>
          <w:szCs w:val="24"/>
        </w:rPr>
        <w:t>10.6 </w:t>
      </w:r>
      <w:r>
        <w:rPr>
          <w:rFonts w:hint="eastAsia" w:ascii="宋体" w:hAnsi="宋体" w:cs="宋体"/>
          <w:sz w:val="24"/>
          <w:szCs w:val="24"/>
        </w:rPr>
        <w:t>双联排气检查系统；</w:t>
      </w:r>
    </w:p>
    <w:p>
      <w:pPr>
        <w:keepNext w:val="0"/>
        <w:keepLines w:val="0"/>
        <w:pageBreakBefore w:val="0"/>
        <w:widowControl w:val="0"/>
        <w:tabs>
          <w:tab w:val="left" w:pos="8190"/>
        </w:tabs>
        <w:kinsoku/>
        <w:wordWrap/>
        <w:overflowPunct/>
        <w:topLinePunct w:val="0"/>
        <w:autoSpaceDE/>
        <w:autoSpaceDN/>
        <w:bidi w:val="0"/>
        <w:adjustRightInd/>
        <w:snapToGrid/>
        <w:spacing w:line="360" w:lineRule="auto"/>
        <w:ind w:left="0" w:right="0" w:rightChars="0" w:firstLine="0" w:firstLineChars="0"/>
        <w:jc w:val="left"/>
        <w:textAlignment w:val="auto"/>
        <w:outlineLvl w:val="9"/>
        <w:rPr>
          <w:rFonts w:ascii="宋体" w:cs="宋体"/>
          <w:sz w:val="24"/>
          <w:szCs w:val="24"/>
        </w:rPr>
      </w:pPr>
      <w:r>
        <w:rPr>
          <w:rFonts w:hint="eastAsia" w:ascii="宋体" w:hAnsi="宋体" w:cs="宋体"/>
          <w:sz w:val="24"/>
          <w:szCs w:val="24"/>
          <w:lang w:val="en-US" w:eastAsia="zh-CN"/>
        </w:rPr>
        <w:t>20.</w:t>
      </w:r>
      <w:r>
        <w:rPr>
          <w:rFonts w:ascii="宋体" w:hAnsi="宋体" w:cs="宋体"/>
          <w:sz w:val="24"/>
          <w:szCs w:val="24"/>
        </w:rPr>
        <w:t>10.7 </w:t>
      </w:r>
      <w:r>
        <w:rPr>
          <w:rFonts w:hint="eastAsia" w:ascii="宋体" w:hAnsi="宋体" w:cs="宋体"/>
          <w:sz w:val="24"/>
          <w:szCs w:val="24"/>
        </w:rPr>
        <w:t>锁盖安全检测；</w:t>
      </w:r>
    </w:p>
    <w:p>
      <w:pPr>
        <w:keepNext w:val="0"/>
        <w:keepLines w:val="0"/>
        <w:pageBreakBefore w:val="0"/>
        <w:widowControl w:val="0"/>
        <w:tabs>
          <w:tab w:val="left" w:pos="8190"/>
        </w:tabs>
        <w:kinsoku/>
        <w:wordWrap/>
        <w:overflowPunct/>
        <w:topLinePunct w:val="0"/>
        <w:autoSpaceDE/>
        <w:autoSpaceDN/>
        <w:bidi w:val="0"/>
        <w:adjustRightInd/>
        <w:snapToGrid/>
        <w:spacing w:line="360" w:lineRule="auto"/>
        <w:ind w:left="0" w:right="0" w:rightChars="0" w:firstLine="0" w:firstLineChars="0"/>
        <w:jc w:val="left"/>
        <w:textAlignment w:val="auto"/>
        <w:outlineLvl w:val="9"/>
        <w:rPr>
          <w:rFonts w:ascii="宋体" w:cs="宋体"/>
          <w:sz w:val="24"/>
          <w:szCs w:val="24"/>
        </w:rPr>
      </w:pPr>
      <w:r>
        <w:rPr>
          <w:rFonts w:hint="eastAsia" w:ascii="宋体" w:hAnsi="宋体" w:cs="宋体"/>
          <w:sz w:val="24"/>
          <w:szCs w:val="24"/>
          <w:lang w:val="en-US" w:eastAsia="zh-CN"/>
        </w:rPr>
        <w:t>20.</w:t>
      </w:r>
      <w:r>
        <w:rPr>
          <w:rFonts w:ascii="宋体" w:hAnsi="宋体" w:cs="宋体"/>
          <w:sz w:val="24"/>
          <w:szCs w:val="24"/>
        </w:rPr>
        <w:t>10.8 </w:t>
      </w:r>
      <w:r>
        <w:rPr>
          <w:rFonts w:hint="eastAsia" w:ascii="宋体" w:hAnsi="宋体" w:cs="宋体"/>
          <w:sz w:val="24"/>
          <w:szCs w:val="24"/>
        </w:rPr>
        <w:t>压力安全阀；</w:t>
      </w:r>
    </w:p>
    <w:p>
      <w:pPr>
        <w:keepNext w:val="0"/>
        <w:keepLines w:val="0"/>
        <w:pageBreakBefore w:val="0"/>
        <w:widowControl w:val="0"/>
        <w:tabs>
          <w:tab w:val="left" w:pos="8190"/>
        </w:tabs>
        <w:kinsoku/>
        <w:wordWrap/>
        <w:overflowPunct/>
        <w:topLinePunct w:val="0"/>
        <w:autoSpaceDE/>
        <w:autoSpaceDN/>
        <w:bidi w:val="0"/>
        <w:adjustRightInd/>
        <w:snapToGrid/>
        <w:spacing w:line="360" w:lineRule="auto"/>
        <w:ind w:left="0" w:right="0" w:rightChars="0" w:firstLine="0" w:firstLineChars="0"/>
        <w:jc w:val="left"/>
        <w:textAlignment w:val="auto"/>
        <w:outlineLvl w:val="9"/>
        <w:rPr>
          <w:rFonts w:ascii="宋体" w:cs="宋体"/>
          <w:sz w:val="24"/>
          <w:szCs w:val="24"/>
        </w:rPr>
      </w:pPr>
      <w:r>
        <w:rPr>
          <w:rFonts w:hint="eastAsia" w:ascii="宋体" w:hAnsi="宋体" w:cs="宋体"/>
          <w:sz w:val="24"/>
          <w:szCs w:val="24"/>
          <w:lang w:val="en-US" w:eastAsia="zh-CN"/>
        </w:rPr>
        <w:t>20.</w:t>
      </w:r>
      <w:r>
        <w:rPr>
          <w:rFonts w:ascii="宋体" w:hAnsi="宋体" w:cs="宋体"/>
          <w:sz w:val="24"/>
          <w:szCs w:val="24"/>
        </w:rPr>
        <w:t>10.9 </w:t>
      </w:r>
      <w:r>
        <w:rPr>
          <w:rFonts w:hint="eastAsia" w:ascii="宋体" w:hAnsi="宋体" w:cs="宋体"/>
          <w:sz w:val="24"/>
          <w:szCs w:val="24"/>
        </w:rPr>
        <w:t>加热故障检测；</w:t>
      </w:r>
    </w:p>
    <w:p>
      <w:pPr>
        <w:keepNext w:val="0"/>
        <w:keepLines w:val="0"/>
        <w:pageBreakBefore w:val="0"/>
        <w:widowControl w:val="0"/>
        <w:tabs>
          <w:tab w:val="left" w:pos="8190"/>
        </w:tabs>
        <w:kinsoku/>
        <w:wordWrap/>
        <w:overflowPunct/>
        <w:topLinePunct w:val="0"/>
        <w:autoSpaceDE/>
        <w:autoSpaceDN/>
        <w:bidi w:val="0"/>
        <w:adjustRightInd/>
        <w:snapToGrid/>
        <w:spacing w:line="360" w:lineRule="auto"/>
        <w:ind w:left="0" w:right="0" w:rightChars="0" w:firstLine="0" w:firstLineChars="0"/>
        <w:jc w:val="left"/>
        <w:textAlignment w:val="auto"/>
        <w:outlineLvl w:val="9"/>
        <w:rPr>
          <w:rFonts w:ascii="宋体" w:cs="宋体"/>
          <w:sz w:val="24"/>
          <w:szCs w:val="24"/>
        </w:rPr>
      </w:pPr>
      <w:r>
        <w:rPr>
          <w:rFonts w:hint="eastAsia" w:ascii="宋体" w:hAnsi="宋体" w:cs="宋体"/>
          <w:sz w:val="24"/>
          <w:szCs w:val="24"/>
          <w:lang w:val="en-US" w:eastAsia="zh-CN"/>
        </w:rPr>
        <w:t>20.</w:t>
      </w:r>
      <w:r>
        <w:rPr>
          <w:rFonts w:ascii="宋体" w:hAnsi="宋体" w:cs="宋体"/>
          <w:sz w:val="24"/>
          <w:szCs w:val="24"/>
        </w:rPr>
        <w:t>10.10 </w:t>
      </w:r>
      <w:r>
        <w:rPr>
          <w:rFonts w:hint="eastAsia" w:ascii="宋体" w:hAnsi="宋体" w:cs="宋体"/>
          <w:sz w:val="24"/>
          <w:szCs w:val="24"/>
        </w:rPr>
        <w:t>漏电断路器。</w:t>
      </w:r>
    </w:p>
    <w:p>
      <w:pPr>
        <w:keepNext w:val="0"/>
        <w:keepLines w:val="0"/>
        <w:pageBreakBefore w:val="0"/>
        <w:widowControl w:val="0"/>
        <w:tabs>
          <w:tab w:val="left" w:pos="8190"/>
        </w:tabs>
        <w:kinsoku/>
        <w:wordWrap/>
        <w:overflowPunct/>
        <w:topLinePunct w:val="0"/>
        <w:autoSpaceDE/>
        <w:autoSpaceDN/>
        <w:bidi w:val="0"/>
        <w:adjustRightInd/>
        <w:snapToGrid/>
        <w:spacing w:line="360" w:lineRule="auto"/>
        <w:ind w:left="0" w:right="0" w:rightChars="0" w:firstLine="0" w:firstLineChars="0"/>
        <w:jc w:val="left"/>
        <w:textAlignment w:val="auto"/>
        <w:outlineLvl w:val="9"/>
        <w:rPr>
          <w:rFonts w:ascii="宋体" w:cs="宋体"/>
          <w:sz w:val="24"/>
          <w:szCs w:val="24"/>
        </w:rPr>
      </w:pPr>
      <w:r>
        <w:rPr>
          <w:rFonts w:hint="eastAsia" w:ascii="宋体" w:hAnsi="宋体" w:cs="宋体"/>
          <w:sz w:val="24"/>
          <w:szCs w:val="24"/>
          <w:lang w:val="en-US" w:eastAsia="zh-CN"/>
        </w:rPr>
        <w:t>20.</w:t>
      </w:r>
      <w:r>
        <w:rPr>
          <w:rFonts w:ascii="宋体" w:hAnsi="宋体" w:cs="宋体"/>
          <w:sz w:val="24"/>
          <w:szCs w:val="24"/>
        </w:rPr>
        <w:t>11.</w:t>
      </w:r>
      <w:r>
        <w:rPr>
          <w:rFonts w:hint="eastAsia" w:ascii="宋体" w:hAnsi="宋体" w:cs="宋体"/>
          <w:sz w:val="24"/>
          <w:szCs w:val="24"/>
        </w:rPr>
        <w:t>具备压力容器许可证。</w:t>
      </w:r>
    </w:p>
    <w:p>
      <w:pPr>
        <w:keepNext w:val="0"/>
        <w:keepLines w:val="0"/>
        <w:pageBreakBefore w:val="0"/>
        <w:widowControl w:val="0"/>
        <w:tabs>
          <w:tab w:val="left" w:pos="8190"/>
        </w:tabs>
        <w:kinsoku/>
        <w:wordWrap/>
        <w:overflowPunct/>
        <w:topLinePunct w:val="0"/>
        <w:autoSpaceDE/>
        <w:autoSpaceDN/>
        <w:bidi w:val="0"/>
        <w:adjustRightInd/>
        <w:snapToGrid/>
        <w:spacing w:line="360" w:lineRule="auto"/>
        <w:ind w:left="0" w:right="0" w:rightChars="0" w:firstLine="0" w:firstLineChars="0"/>
        <w:jc w:val="left"/>
        <w:textAlignment w:val="auto"/>
        <w:outlineLvl w:val="9"/>
        <w:rPr>
          <w:rFonts w:ascii="宋体" w:hAnsi="宋体" w:cs="宋体"/>
          <w:sz w:val="24"/>
          <w:szCs w:val="24"/>
        </w:rPr>
      </w:pPr>
      <w:r>
        <w:rPr>
          <w:rFonts w:hint="eastAsia" w:ascii="宋体" w:hAnsi="宋体" w:cs="宋体"/>
          <w:sz w:val="24"/>
          <w:szCs w:val="24"/>
          <w:lang w:val="en-US" w:eastAsia="zh-CN"/>
        </w:rPr>
        <w:t>20.</w:t>
      </w:r>
      <w:r>
        <w:rPr>
          <w:rFonts w:ascii="宋体" w:hAnsi="宋体" w:cs="宋体"/>
          <w:sz w:val="24"/>
          <w:szCs w:val="24"/>
        </w:rPr>
        <w:t>12.</w:t>
      </w:r>
      <w:r>
        <w:rPr>
          <w:rFonts w:hint="eastAsia" w:ascii="宋体" w:hAnsi="宋体" w:cs="宋体"/>
          <w:sz w:val="24"/>
          <w:szCs w:val="24"/>
        </w:rPr>
        <w:t>配置</w:t>
      </w:r>
      <w:r>
        <w:rPr>
          <w:rFonts w:ascii="宋体" w:hAnsi="宋体" w:cs="宋体"/>
          <w:sz w:val="24"/>
          <w:szCs w:val="24"/>
        </w:rPr>
        <w:t>:</w:t>
      </w:r>
    </w:p>
    <w:p>
      <w:pPr>
        <w:keepNext w:val="0"/>
        <w:keepLines w:val="0"/>
        <w:pageBreakBefore w:val="0"/>
        <w:widowControl w:val="0"/>
        <w:tabs>
          <w:tab w:val="left" w:pos="8190"/>
        </w:tabs>
        <w:kinsoku/>
        <w:wordWrap/>
        <w:overflowPunct/>
        <w:topLinePunct w:val="0"/>
        <w:autoSpaceDE/>
        <w:autoSpaceDN/>
        <w:bidi w:val="0"/>
        <w:adjustRightInd/>
        <w:snapToGrid/>
        <w:spacing w:line="360" w:lineRule="auto"/>
        <w:ind w:left="0" w:right="0" w:rightChars="0" w:firstLine="0" w:firstLineChars="0"/>
        <w:jc w:val="left"/>
        <w:textAlignment w:val="auto"/>
        <w:outlineLvl w:val="9"/>
        <w:rPr>
          <w:rFonts w:ascii="宋体" w:cs="宋体"/>
          <w:sz w:val="24"/>
          <w:szCs w:val="24"/>
        </w:rPr>
      </w:pPr>
      <w:r>
        <w:rPr>
          <w:rFonts w:hint="eastAsia" w:ascii="宋体" w:hAnsi="宋体" w:cs="宋体"/>
          <w:sz w:val="24"/>
          <w:szCs w:val="24"/>
          <w:lang w:val="en-US" w:eastAsia="zh-CN"/>
        </w:rPr>
        <w:t>20.</w:t>
      </w:r>
      <w:r>
        <w:rPr>
          <w:rFonts w:ascii="宋体" w:hAnsi="宋体" w:cs="宋体"/>
          <w:sz w:val="24"/>
          <w:szCs w:val="24"/>
        </w:rPr>
        <w:t>12.1 </w:t>
      </w:r>
      <w:r>
        <w:rPr>
          <w:rFonts w:hint="eastAsia" w:ascii="宋体" w:hAnsi="宋体" w:cs="宋体"/>
          <w:sz w:val="24"/>
          <w:szCs w:val="24"/>
        </w:rPr>
        <w:t>不锈钢丝吊篮</w:t>
      </w:r>
      <w:r>
        <w:rPr>
          <w:rFonts w:ascii="宋体" w:hAnsi="宋体" w:cs="宋体"/>
          <w:sz w:val="24"/>
          <w:szCs w:val="24"/>
        </w:rPr>
        <w:t>3</w:t>
      </w:r>
      <w:r>
        <w:rPr>
          <w:rFonts w:hint="eastAsia" w:ascii="宋体" w:hAnsi="宋体" w:cs="宋体"/>
          <w:sz w:val="24"/>
          <w:szCs w:val="24"/>
        </w:rPr>
        <w:t>个；</w:t>
      </w:r>
    </w:p>
    <w:p>
      <w:pPr>
        <w:keepNext w:val="0"/>
        <w:keepLines w:val="0"/>
        <w:pageBreakBefore w:val="0"/>
        <w:widowControl w:val="0"/>
        <w:tabs>
          <w:tab w:val="left" w:pos="8190"/>
        </w:tabs>
        <w:kinsoku/>
        <w:wordWrap/>
        <w:overflowPunct/>
        <w:topLinePunct w:val="0"/>
        <w:autoSpaceDE/>
        <w:autoSpaceDN/>
        <w:bidi w:val="0"/>
        <w:adjustRightInd/>
        <w:snapToGrid/>
        <w:spacing w:line="360" w:lineRule="auto"/>
        <w:ind w:left="0" w:right="0" w:rightChars="0" w:firstLine="0" w:firstLineChars="0"/>
        <w:jc w:val="left"/>
        <w:textAlignment w:val="auto"/>
        <w:outlineLvl w:val="9"/>
        <w:rPr>
          <w:rFonts w:ascii="宋体" w:cs="宋体"/>
          <w:sz w:val="24"/>
          <w:szCs w:val="24"/>
        </w:rPr>
      </w:pPr>
      <w:r>
        <w:rPr>
          <w:rFonts w:hint="eastAsia" w:ascii="宋体" w:hAnsi="宋体" w:cs="宋体"/>
          <w:sz w:val="24"/>
          <w:szCs w:val="24"/>
          <w:lang w:val="en-US" w:eastAsia="zh-CN"/>
        </w:rPr>
        <w:t>20.</w:t>
      </w:r>
      <w:r>
        <w:rPr>
          <w:rFonts w:ascii="宋体" w:hAnsi="宋体" w:cs="宋体"/>
          <w:sz w:val="24"/>
          <w:szCs w:val="24"/>
        </w:rPr>
        <w:t>12.2 </w:t>
      </w:r>
      <w:r>
        <w:rPr>
          <w:rFonts w:hint="eastAsia" w:ascii="宋体" w:hAnsi="宋体" w:cs="宋体"/>
          <w:sz w:val="24"/>
          <w:szCs w:val="24"/>
        </w:rPr>
        <w:t>底板</w:t>
      </w:r>
      <w:r>
        <w:rPr>
          <w:rFonts w:ascii="宋体" w:hAnsi="宋体" w:cs="宋体"/>
          <w:sz w:val="24"/>
          <w:szCs w:val="24"/>
        </w:rPr>
        <w:t>1</w:t>
      </w:r>
      <w:r>
        <w:rPr>
          <w:rFonts w:hint="eastAsia" w:ascii="宋体" w:hAnsi="宋体" w:cs="宋体"/>
          <w:sz w:val="24"/>
          <w:szCs w:val="24"/>
        </w:rPr>
        <w:t>个；</w:t>
      </w:r>
    </w:p>
    <w:p>
      <w:pPr>
        <w:keepNext w:val="0"/>
        <w:keepLines w:val="0"/>
        <w:pageBreakBefore w:val="0"/>
        <w:widowControl w:val="0"/>
        <w:tabs>
          <w:tab w:val="left" w:pos="8190"/>
        </w:tabs>
        <w:kinsoku/>
        <w:wordWrap/>
        <w:overflowPunct/>
        <w:topLinePunct w:val="0"/>
        <w:autoSpaceDE/>
        <w:autoSpaceDN/>
        <w:bidi w:val="0"/>
        <w:adjustRightInd/>
        <w:snapToGrid/>
        <w:spacing w:line="360" w:lineRule="auto"/>
        <w:ind w:left="0" w:right="0" w:rightChars="0" w:firstLine="0" w:firstLineChars="0"/>
        <w:jc w:val="left"/>
        <w:textAlignment w:val="auto"/>
        <w:outlineLvl w:val="9"/>
        <w:rPr>
          <w:rFonts w:ascii="宋体" w:cs="宋体"/>
          <w:sz w:val="24"/>
          <w:szCs w:val="24"/>
        </w:rPr>
      </w:pPr>
      <w:r>
        <w:rPr>
          <w:rFonts w:hint="eastAsia" w:ascii="宋体" w:hAnsi="宋体" w:cs="宋体"/>
          <w:sz w:val="24"/>
          <w:szCs w:val="24"/>
          <w:lang w:val="en-US" w:eastAsia="zh-CN"/>
        </w:rPr>
        <w:t>20.</w:t>
      </w:r>
      <w:r>
        <w:rPr>
          <w:rFonts w:ascii="宋体" w:hAnsi="宋体" w:cs="宋体"/>
          <w:sz w:val="24"/>
          <w:szCs w:val="24"/>
        </w:rPr>
        <w:t>12.3 </w:t>
      </w:r>
      <w:r>
        <w:rPr>
          <w:rFonts w:hint="eastAsia" w:ascii="宋体" w:hAnsi="宋体" w:cs="宋体"/>
          <w:sz w:val="24"/>
          <w:szCs w:val="24"/>
        </w:rPr>
        <w:t>排水软管</w:t>
      </w:r>
      <w:r>
        <w:rPr>
          <w:rFonts w:ascii="宋体" w:hAnsi="宋体" w:cs="宋体"/>
          <w:sz w:val="24"/>
          <w:szCs w:val="24"/>
        </w:rPr>
        <w:t>2</w:t>
      </w:r>
      <w:r>
        <w:rPr>
          <w:rFonts w:hint="eastAsia" w:ascii="宋体" w:hAnsi="宋体" w:cs="宋体"/>
          <w:sz w:val="24"/>
          <w:szCs w:val="24"/>
        </w:rPr>
        <w:t>根；</w:t>
      </w:r>
    </w:p>
    <w:p>
      <w:pPr>
        <w:keepNext w:val="0"/>
        <w:keepLines w:val="0"/>
        <w:pageBreakBefore w:val="0"/>
        <w:widowControl w:val="0"/>
        <w:tabs>
          <w:tab w:val="left" w:pos="8190"/>
        </w:tabs>
        <w:kinsoku/>
        <w:wordWrap/>
        <w:overflowPunct/>
        <w:topLinePunct w:val="0"/>
        <w:autoSpaceDE/>
        <w:autoSpaceDN/>
        <w:bidi w:val="0"/>
        <w:adjustRightInd/>
        <w:snapToGrid/>
        <w:spacing w:line="360" w:lineRule="auto"/>
        <w:ind w:left="0" w:right="0" w:rightChars="0" w:firstLine="0" w:firstLineChars="0"/>
        <w:jc w:val="left"/>
        <w:textAlignment w:val="auto"/>
        <w:outlineLvl w:val="9"/>
        <w:rPr>
          <w:rFonts w:ascii="宋体" w:cs="宋体"/>
          <w:sz w:val="24"/>
          <w:szCs w:val="24"/>
        </w:rPr>
      </w:pPr>
      <w:r>
        <w:rPr>
          <w:rFonts w:hint="eastAsia" w:ascii="宋体" w:hAnsi="宋体" w:cs="宋体"/>
          <w:sz w:val="24"/>
          <w:szCs w:val="24"/>
          <w:lang w:val="en-US" w:eastAsia="zh-CN"/>
        </w:rPr>
        <w:t>20.</w:t>
      </w:r>
      <w:r>
        <w:rPr>
          <w:rFonts w:ascii="宋体" w:hAnsi="宋体" w:cs="宋体"/>
          <w:sz w:val="24"/>
          <w:szCs w:val="24"/>
        </w:rPr>
        <w:t>12.4 </w:t>
      </w:r>
      <w:r>
        <w:rPr>
          <w:rFonts w:hint="eastAsia" w:ascii="宋体" w:hAnsi="宋体" w:cs="宋体"/>
          <w:sz w:val="24"/>
          <w:szCs w:val="24"/>
        </w:rPr>
        <w:t>排汽瓶</w:t>
      </w:r>
      <w:r>
        <w:rPr>
          <w:rFonts w:ascii="宋体" w:hAnsi="宋体" w:cs="宋体"/>
          <w:sz w:val="24"/>
          <w:szCs w:val="24"/>
        </w:rPr>
        <w:t>1</w:t>
      </w:r>
      <w:r>
        <w:rPr>
          <w:rFonts w:hint="eastAsia" w:ascii="宋体" w:hAnsi="宋体" w:cs="宋体"/>
          <w:sz w:val="24"/>
          <w:szCs w:val="24"/>
        </w:rPr>
        <w:t>个；</w:t>
      </w:r>
    </w:p>
    <w:p>
      <w:pPr>
        <w:keepNext w:val="0"/>
        <w:keepLines w:val="0"/>
        <w:pageBreakBefore w:val="0"/>
        <w:widowControl w:val="0"/>
        <w:tabs>
          <w:tab w:val="left" w:pos="8190"/>
        </w:tabs>
        <w:kinsoku/>
        <w:wordWrap/>
        <w:overflowPunct/>
        <w:topLinePunct w:val="0"/>
        <w:autoSpaceDE/>
        <w:autoSpaceDN/>
        <w:bidi w:val="0"/>
        <w:adjustRightInd/>
        <w:snapToGrid/>
        <w:spacing w:line="360" w:lineRule="auto"/>
        <w:ind w:left="0" w:right="0" w:rightChars="0" w:firstLine="0" w:firstLineChars="0"/>
        <w:jc w:val="left"/>
        <w:textAlignment w:val="auto"/>
        <w:outlineLvl w:val="9"/>
        <w:rPr>
          <w:rFonts w:hint="eastAsia" w:ascii="宋体" w:hAnsi="宋体" w:cs="宋体"/>
          <w:sz w:val="24"/>
          <w:szCs w:val="24"/>
        </w:rPr>
      </w:pPr>
      <w:r>
        <w:rPr>
          <w:rFonts w:hint="eastAsia" w:ascii="宋体" w:hAnsi="宋体" w:cs="宋体"/>
          <w:sz w:val="24"/>
          <w:szCs w:val="24"/>
          <w:lang w:val="en-US" w:eastAsia="zh-CN"/>
        </w:rPr>
        <w:t>20.</w:t>
      </w:r>
      <w:r>
        <w:rPr>
          <w:rFonts w:ascii="宋体" w:hAnsi="宋体" w:cs="宋体"/>
          <w:sz w:val="24"/>
          <w:szCs w:val="24"/>
        </w:rPr>
        <w:t>12.5 </w:t>
      </w:r>
      <w:r>
        <w:rPr>
          <w:rFonts w:hint="eastAsia" w:ascii="宋体" w:hAnsi="宋体" w:cs="宋体"/>
          <w:sz w:val="24"/>
          <w:szCs w:val="24"/>
        </w:rPr>
        <w:t>滑轮制动器</w:t>
      </w:r>
      <w:r>
        <w:rPr>
          <w:rFonts w:ascii="宋体" w:hAnsi="宋体" w:cs="宋体"/>
          <w:sz w:val="24"/>
          <w:szCs w:val="24"/>
        </w:rPr>
        <w:t>2</w:t>
      </w:r>
      <w:r>
        <w:rPr>
          <w:rFonts w:hint="eastAsia" w:ascii="宋体" w:hAnsi="宋体" w:cs="宋体"/>
          <w:sz w:val="24"/>
          <w:szCs w:val="24"/>
        </w:rPr>
        <w:t>个。</w:t>
      </w:r>
    </w:p>
    <w:p/>
    <w:p/>
    <w:p>
      <w:pPr>
        <w:pStyle w:val="6"/>
        <w:keepNext w:val="0"/>
        <w:keepLines w:val="0"/>
        <w:widowControl/>
        <w:suppressLineNumbers w:val="0"/>
        <w:spacing w:before="0" w:beforeAutospacing="0" w:after="150" w:afterAutospacing="0" w:line="300" w:lineRule="atLeast"/>
        <w:ind w:left="0" w:right="0"/>
        <w:rPr>
          <w:color w:val="auto"/>
        </w:rPr>
      </w:pPr>
      <w:r>
        <w:rPr>
          <w:rFonts w:hint="eastAsia" w:ascii="宋体" w:hAnsi="宋体" w:eastAsia="宋体" w:cs="宋体"/>
          <w:color w:val="auto"/>
          <w:sz w:val="24"/>
          <w:szCs w:val="24"/>
        </w:rPr>
        <w:t>备注：</w:t>
      </w:r>
    </w:p>
    <w:p>
      <w:pPr>
        <w:pStyle w:val="6"/>
        <w:keepNext w:val="0"/>
        <w:keepLines w:val="0"/>
        <w:widowControl/>
        <w:suppressLineNumbers w:val="0"/>
        <w:spacing w:before="0" w:beforeAutospacing="0" w:after="150" w:afterAutospacing="0" w:line="300" w:lineRule="atLeast"/>
        <w:ind w:left="0" w:right="0" w:firstLine="0"/>
        <w:rPr>
          <w:color w:val="auto"/>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.检验科、病理科实验室装修须根据医院现有场地按照ISO15189的验收标准提供设 计和布局方案及整体装修。</w:t>
      </w:r>
    </w:p>
    <w:p>
      <w:pPr>
        <w:pStyle w:val="6"/>
        <w:keepNext w:val="0"/>
        <w:keepLines w:val="0"/>
        <w:widowControl/>
        <w:suppressLineNumbers w:val="0"/>
        <w:spacing w:before="0" w:beforeAutospacing="0" w:after="150" w:afterAutospacing="0" w:line="300" w:lineRule="atLeast"/>
        <w:ind w:left="0" w:right="0" w:firstLine="0"/>
        <w:rPr>
          <w:color w:val="auto"/>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.所有设备必须开放端口并免费与医院信息系统联接。</w:t>
      </w:r>
    </w:p>
    <w:p>
      <w:pPr>
        <w:pStyle w:val="6"/>
        <w:keepNext w:val="0"/>
        <w:keepLines w:val="0"/>
        <w:widowControl/>
        <w:suppressLineNumbers w:val="0"/>
        <w:spacing w:before="0" w:beforeAutospacing="0" w:after="150" w:afterAutospacing="0" w:line="300" w:lineRule="atLeast"/>
        <w:ind w:left="0" w:right="0"/>
        <w:rPr>
          <w:color w:val="auto"/>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.须提供现场设 计、安装、配套装修方案，并承担与之相关的一切费用。</w:t>
      </w:r>
    </w:p>
    <w:p>
      <w:pPr>
        <w:pStyle w:val="6"/>
        <w:keepNext w:val="0"/>
        <w:keepLines w:val="0"/>
        <w:widowControl/>
        <w:suppressLineNumbers w:val="0"/>
        <w:spacing w:before="0" w:beforeAutospacing="0" w:after="150" w:afterAutospacing="0" w:line="300" w:lineRule="atLeast"/>
        <w:ind w:left="0" w:right="0"/>
        <w:rPr>
          <w:color w:val="auto"/>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.若上述设备涉及配套耗材、试剂使用，须对其报价及有关情况进行说明。</w:t>
      </w:r>
    </w:p>
    <w:p>
      <w:pPr>
        <w:pStyle w:val="6"/>
        <w:keepNext w:val="0"/>
        <w:keepLines w:val="0"/>
        <w:widowControl/>
        <w:suppressLineNumbers w:val="0"/>
        <w:spacing w:before="0" w:beforeAutospacing="0" w:after="150" w:afterAutospacing="0" w:line="300" w:lineRule="atLeast"/>
        <w:ind w:left="0" w:right="0"/>
        <w:rPr>
          <w:color w:val="auto"/>
        </w:rPr>
      </w:pPr>
      <w:r>
        <w:rPr>
          <w:rFonts w:hint="eastAsia" w:ascii="宋体" w:hAnsi="宋体" w:eastAsia="宋体" w:cs="宋体"/>
          <w:color w:val="auto"/>
          <w:sz w:val="24"/>
          <w:szCs w:val="24"/>
        </w:rPr>
        <w:t>9.针对每台（套）设备，须另提供操作及故障简明流程牌，方便悬挂于机身，以便指导运用。</w:t>
      </w:r>
    </w:p>
    <w:p>
      <w:pPr>
        <w:pStyle w:val="6"/>
        <w:keepNext w:val="0"/>
        <w:keepLines w:val="0"/>
        <w:widowControl/>
        <w:suppressLineNumbers w:val="0"/>
        <w:spacing w:before="0" w:beforeAutospacing="0" w:after="150" w:afterAutospacing="0"/>
        <w:ind w:left="0" w:right="0"/>
        <w:rPr>
          <w:color w:val="auto"/>
        </w:rPr>
      </w:pP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三、商务条件</w:t>
      </w:r>
      <w:r>
        <w:rPr>
          <w:rStyle w:val="9"/>
          <w:rFonts w:hint="eastAsia" w:ascii="宋体" w:hAnsi="宋体" w:eastAsia="宋体" w:cs="宋体"/>
          <w:b/>
          <w:color w:val="auto"/>
          <w:spacing w:val="0"/>
          <w:sz w:val="24"/>
          <w:szCs w:val="24"/>
        </w:rPr>
        <w:t>（以“★”标示的内容为不允许负偏离的实质性要求）</w:t>
      </w:r>
    </w:p>
    <w:p>
      <w:pPr>
        <w:pStyle w:val="6"/>
        <w:keepNext w:val="0"/>
        <w:keepLines w:val="0"/>
        <w:widowControl/>
        <w:suppressLineNumbers w:val="0"/>
        <w:spacing w:before="75" w:beforeAutospacing="0" w:after="75" w:afterAutospacing="0"/>
        <w:ind w:left="0" w:right="0" w:firstLine="0"/>
        <w:rPr>
          <w:color w:val="auto"/>
        </w:rPr>
      </w:pPr>
      <w:r>
        <w:rPr>
          <w:rStyle w:val="9"/>
          <w:rFonts w:hint="eastAsia" w:ascii="宋体" w:hAnsi="宋体" w:eastAsia="宋体" w:cs="宋体"/>
          <w:b/>
          <w:color w:val="auto"/>
          <w:spacing w:val="0"/>
          <w:sz w:val="24"/>
          <w:szCs w:val="24"/>
        </w:rPr>
        <w:t>包：1</w:t>
      </w:r>
      <w:r>
        <w:rPr>
          <w:rStyle w:val="9"/>
          <w:rFonts w:hint="eastAsia" w:ascii="宋体" w:hAnsi="宋体" w:eastAsia="宋体" w:cs="宋体"/>
          <w:b/>
          <w:color w:val="auto"/>
          <w:spacing w:val="0"/>
          <w:sz w:val="24"/>
          <w:szCs w:val="24"/>
        </w:rPr>
        <w:br w:type="textWrapping"/>
      </w:r>
      <w:r>
        <w:rPr>
          <w:rStyle w:val="9"/>
          <w:rFonts w:hint="eastAsia" w:ascii="宋体" w:hAnsi="宋体" w:eastAsia="宋体" w:cs="宋体"/>
          <w:b/>
          <w:color w:val="auto"/>
          <w:spacing w:val="0"/>
          <w:sz w:val="24"/>
          <w:szCs w:val="24"/>
        </w:rPr>
        <w:t>1、交付地点：福建省福州市闽侯县上街镇 </w:t>
      </w:r>
      <w:r>
        <w:rPr>
          <w:rStyle w:val="9"/>
          <w:rFonts w:hint="eastAsia" w:ascii="宋体" w:hAnsi="宋体" w:eastAsia="宋体" w:cs="宋体"/>
          <w:b/>
          <w:color w:val="auto"/>
          <w:spacing w:val="0"/>
          <w:sz w:val="24"/>
          <w:szCs w:val="24"/>
        </w:rPr>
        <w:br w:type="textWrapping"/>
      </w:r>
      <w:r>
        <w:rPr>
          <w:rStyle w:val="9"/>
          <w:rFonts w:hint="eastAsia" w:ascii="宋体" w:hAnsi="宋体" w:eastAsia="宋体" w:cs="宋体"/>
          <w:b/>
          <w:color w:val="auto"/>
          <w:spacing w:val="0"/>
          <w:sz w:val="24"/>
          <w:szCs w:val="24"/>
        </w:rPr>
        <w:t>2、交付时间：合同签订后 (30) 天内交货</w:t>
      </w:r>
      <w:r>
        <w:rPr>
          <w:rStyle w:val="9"/>
          <w:rFonts w:hint="eastAsia" w:ascii="宋体" w:hAnsi="宋体" w:eastAsia="宋体" w:cs="宋体"/>
          <w:b/>
          <w:color w:val="auto"/>
          <w:spacing w:val="0"/>
          <w:sz w:val="24"/>
          <w:szCs w:val="24"/>
        </w:rPr>
        <w:br w:type="textWrapping"/>
      </w:r>
      <w:r>
        <w:rPr>
          <w:rStyle w:val="9"/>
          <w:rFonts w:hint="eastAsia" w:ascii="宋体" w:hAnsi="宋体" w:eastAsia="宋体" w:cs="宋体"/>
          <w:b/>
          <w:color w:val="auto"/>
          <w:spacing w:val="0"/>
          <w:sz w:val="24"/>
          <w:szCs w:val="24"/>
        </w:rPr>
        <w:t>3、交付条件：货到验收合格交付使用</w:t>
      </w:r>
      <w:r>
        <w:rPr>
          <w:rStyle w:val="9"/>
          <w:rFonts w:hint="eastAsia" w:ascii="宋体" w:hAnsi="宋体" w:eastAsia="宋体" w:cs="宋体"/>
          <w:b/>
          <w:color w:val="auto"/>
          <w:spacing w:val="0"/>
          <w:sz w:val="24"/>
          <w:szCs w:val="24"/>
        </w:rPr>
        <w:br w:type="textWrapping"/>
      </w:r>
      <w:r>
        <w:rPr>
          <w:rStyle w:val="9"/>
          <w:rFonts w:hint="eastAsia" w:ascii="宋体" w:hAnsi="宋体" w:eastAsia="宋体" w:cs="宋体"/>
          <w:b/>
          <w:color w:val="auto"/>
          <w:spacing w:val="0"/>
          <w:sz w:val="24"/>
          <w:szCs w:val="24"/>
        </w:rPr>
        <w:t>4、是否收取履约保证金：否</w:t>
      </w:r>
      <w:r>
        <w:rPr>
          <w:rStyle w:val="9"/>
          <w:rFonts w:hint="eastAsia" w:ascii="宋体" w:hAnsi="宋体" w:eastAsia="宋体" w:cs="宋体"/>
          <w:b/>
          <w:color w:val="auto"/>
          <w:spacing w:val="0"/>
          <w:sz w:val="24"/>
          <w:szCs w:val="24"/>
        </w:rPr>
        <w:br w:type="textWrapping"/>
      </w:r>
      <w:r>
        <w:rPr>
          <w:rStyle w:val="9"/>
          <w:rFonts w:hint="eastAsia" w:ascii="宋体" w:hAnsi="宋体" w:eastAsia="宋体" w:cs="宋体"/>
          <w:b/>
          <w:color w:val="auto"/>
          <w:spacing w:val="0"/>
          <w:sz w:val="24"/>
          <w:szCs w:val="24"/>
        </w:rPr>
        <w:t>5、是否邀请投标人参与验收：否</w:t>
      </w:r>
      <w:r>
        <w:rPr>
          <w:rStyle w:val="9"/>
          <w:rFonts w:hint="eastAsia" w:ascii="宋体" w:hAnsi="宋体" w:eastAsia="宋体" w:cs="宋体"/>
          <w:b/>
          <w:color w:val="auto"/>
          <w:spacing w:val="0"/>
          <w:sz w:val="24"/>
          <w:szCs w:val="24"/>
        </w:rPr>
        <w:br w:type="textWrapping"/>
      </w:r>
      <w:r>
        <w:rPr>
          <w:rStyle w:val="9"/>
          <w:rFonts w:hint="eastAsia" w:ascii="宋体" w:hAnsi="宋体" w:eastAsia="宋体" w:cs="宋体"/>
          <w:b/>
          <w:color w:val="auto"/>
          <w:spacing w:val="0"/>
          <w:sz w:val="24"/>
          <w:szCs w:val="24"/>
        </w:rPr>
        <w:t>6、验收方式数据表格</w:t>
      </w:r>
    </w:p>
    <w:tbl>
      <w:tblPr>
        <w:tblStyle w:val="7"/>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验收期次</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665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设备配件齐全（须附交接物品清单，须有科室负责人签字），正常运行一个月并完成相关培训后，方可验收。</w:t>
            </w:r>
          </w:p>
        </w:tc>
      </w:tr>
    </w:tbl>
    <w:p>
      <w:pPr>
        <w:keepNext w:val="0"/>
        <w:keepLines w:val="0"/>
        <w:widowControl/>
        <w:suppressLineNumbers w:val="0"/>
        <w:jc w:val="left"/>
        <w:rPr>
          <w:color w:val="auto"/>
        </w:rPr>
      </w:pPr>
      <w:r>
        <w:rPr>
          <w:rStyle w:val="9"/>
          <w:rFonts w:ascii="宋体" w:hAnsi="宋体" w:eastAsia="宋体" w:cs="宋体"/>
          <w:b/>
          <w:color w:val="auto"/>
          <w:kern w:val="0"/>
          <w:sz w:val="24"/>
          <w:szCs w:val="24"/>
          <w:lang w:val="en-US" w:eastAsia="zh-CN" w:bidi="ar"/>
        </w:rPr>
        <w:t>7、支付方式数据表格</w:t>
      </w:r>
    </w:p>
    <w:tbl>
      <w:tblPr>
        <w:tblStyle w:val="7"/>
        <w:tblW w:w="83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664"/>
        <w:gridCol w:w="1665"/>
        <w:gridCol w:w="49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Header/>
        </w:trPr>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支付期次</w:t>
            </w:r>
          </w:p>
        </w:tc>
        <w:tc>
          <w:tcPr>
            <w:tcW w:w="166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支付比例(%)</w:t>
            </w:r>
          </w:p>
        </w:tc>
        <w:tc>
          <w:tcPr>
            <w:tcW w:w="499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1</w:t>
            </w:r>
          </w:p>
        </w:tc>
        <w:tc>
          <w:tcPr>
            <w:tcW w:w="166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70</w:t>
            </w:r>
          </w:p>
        </w:tc>
        <w:tc>
          <w:tcPr>
            <w:tcW w:w="499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货到预付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664"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2</w:t>
            </w:r>
          </w:p>
        </w:tc>
        <w:tc>
          <w:tcPr>
            <w:tcW w:w="166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30</w:t>
            </w:r>
          </w:p>
        </w:tc>
        <w:tc>
          <w:tcPr>
            <w:tcW w:w="499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验收合格后三个月内</w:t>
            </w:r>
          </w:p>
        </w:tc>
      </w:tr>
    </w:tbl>
    <w:p>
      <w:pPr>
        <w:pStyle w:val="6"/>
        <w:keepNext w:val="0"/>
        <w:keepLines w:val="0"/>
        <w:widowControl/>
        <w:suppressLineNumbers w:val="0"/>
        <w:spacing w:before="0" w:beforeAutospacing="0" w:after="150" w:afterAutospacing="0" w:line="360" w:lineRule="atLeast"/>
        <w:ind w:left="0" w:right="0"/>
        <w:rPr>
          <w:color w:val="auto"/>
        </w:rPr>
      </w:pPr>
      <w:r>
        <w:rPr>
          <w:color w:val="auto"/>
          <w:spacing w:val="0"/>
          <w:sz w:val="24"/>
          <w:szCs w:val="24"/>
        </w:rPr>
        <w:t> </w:t>
      </w:r>
      <w:r>
        <w:rPr>
          <w:rFonts w:hint="eastAsia" w:ascii="宋体" w:hAnsi="宋体" w:eastAsia="宋体" w:cs="宋体"/>
          <w:color w:val="auto"/>
          <w:sz w:val="22"/>
          <w:szCs w:val="22"/>
        </w:rPr>
        <w:t>8．报价方式：付款方式及其他要求</w:t>
      </w:r>
    </w:p>
    <w:p>
      <w:pPr>
        <w:pStyle w:val="6"/>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2"/>
          <w:szCs w:val="22"/>
        </w:rPr>
        <w:t>8.1、报价方式：</w:t>
      </w:r>
    </w:p>
    <w:p>
      <w:pPr>
        <w:pStyle w:val="6"/>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2"/>
          <w:szCs w:val="22"/>
        </w:rPr>
        <w:t>(1)</w:t>
      </w:r>
      <w:r>
        <w:rPr>
          <w:rFonts w:hint="eastAsia" w:ascii="宋体" w:hAnsi="宋体" w:eastAsia="宋体" w:cs="宋体"/>
          <w:color w:val="auto"/>
          <w:sz w:val="27"/>
          <w:szCs w:val="27"/>
        </w:rPr>
        <w:t> </w:t>
      </w:r>
      <w:r>
        <w:rPr>
          <w:rFonts w:hint="eastAsia" w:ascii="宋体" w:hAnsi="宋体" w:eastAsia="宋体" w:cs="宋体"/>
          <w:color w:val="auto"/>
          <w:sz w:val="22"/>
          <w:szCs w:val="22"/>
        </w:rPr>
        <w:t>若投标人所投产品为免税进 口产品，投标人应报人民币免税价（CIP福建医科大学指 定地点价。报价中含外贸代 理服务费及海关进关等相关费用），交货时应提供相关的海关证明资料。</w:t>
      </w:r>
    </w:p>
    <w:p>
      <w:pPr>
        <w:pStyle w:val="6"/>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2"/>
          <w:szCs w:val="22"/>
        </w:rPr>
        <w:t>(2)</w:t>
      </w:r>
      <w:r>
        <w:rPr>
          <w:rFonts w:hint="eastAsia" w:ascii="宋体" w:hAnsi="宋体" w:eastAsia="宋体" w:cs="宋体"/>
          <w:color w:val="auto"/>
          <w:sz w:val="27"/>
          <w:szCs w:val="27"/>
        </w:rPr>
        <w:t> </w:t>
      </w:r>
      <w:r>
        <w:rPr>
          <w:rFonts w:hint="eastAsia" w:ascii="宋体" w:hAnsi="宋体" w:eastAsia="宋体" w:cs="宋体"/>
          <w:color w:val="auto"/>
          <w:sz w:val="22"/>
          <w:szCs w:val="22"/>
        </w:rPr>
        <w:t>若投标人所投产品为进 口非免税产品，投标人应报人民币含税价（福建医科大学指 定地点价）。交货时应提供相关的海关证明资料。</w:t>
      </w:r>
    </w:p>
    <w:p>
      <w:pPr>
        <w:pStyle w:val="6"/>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2"/>
          <w:szCs w:val="22"/>
        </w:rPr>
        <w:t>(3)若投标人所投的产品为非进 口产品，则报产品到达福建医科大学指 定地点的人民币价。</w:t>
      </w:r>
    </w:p>
    <w:p>
      <w:pPr>
        <w:pStyle w:val="6"/>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2"/>
          <w:szCs w:val="22"/>
        </w:rPr>
        <w:t>8.2、投标报价须包含货物的安装、搬运</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设备就位</w:t>
      </w:r>
      <w:r>
        <w:rPr>
          <w:rFonts w:hint="eastAsia" w:ascii="宋体" w:hAnsi="宋体" w:eastAsia="宋体" w:cs="宋体"/>
          <w:color w:val="auto"/>
          <w:sz w:val="22"/>
          <w:szCs w:val="22"/>
          <w:lang w:eastAsia="zh-CN"/>
        </w:rPr>
        <w:t>、设备所需的耗材及试剂</w:t>
      </w:r>
      <w:r>
        <w:rPr>
          <w:rFonts w:hint="eastAsia" w:ascii="宋体" w:hAnsi="宋体" w:eastAsia="宋体" w:cs="宋体"/>
          <w:color w:val="auto"/>
          <w:sz w:val="22"/>
          <w:szCs w:val="22"/>
        </w:rPr>
        <w:t>的一切费用。</w:t>
      </w:r>
    </w:p>
    <w:p>
      <w:pPr>
        <w:pStyle w:val="6"/>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2"/>
          <w:szCs w:val="22"/>
        </w:rPr>
        <w:t>8.3、投标人对交货的货物应单列清单注明。</w:t>
      </w:r>
    </w:p>
    <w:p>
      <w:pPr>
        <w:pStyle w:val="6"/>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2"/>
          <w:szCs w:val="22"/>
        </w:rPr>
        <w:t>9、对漏（缺）报项的处理：招标文件中要求单独报价的费用（含配置、功能）视同已含在投标总价中，在评标时取有效投标人该项最高报价加入评标价进行评标。</w:t>
      </w:r>
    </w:p>
    <w:p>
      <w:pPr>
        <w:pStyle w:val="6"/>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2"/>
          <w:szCs w:val="22"/>
        </w:rPr>
        <w:t>10、技术服务要求：</w:t>
      </w:r>
    </w:p>
    <w:p>
      <w:pPr>
        <w:pStyle w:val="6"/>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2"/>
          <w:szCs w:val="22"/>
        </w:rPr>
        <w:t>10.1、如果中标人未能按合同规定的时间按时足额交货的（不可抗力除外），在中标人书面同意支付延期交货违约金的条件下，采购人有权选择同意延长交货期还是不予延长交货期，采购人同意延长交货期的，延期交货的时间由双方另行确定。延期交货违约金的支付采购人有权从未付的合同货款中扣除。延期交货违约金比率为每迟交1 天，按迟交货物金额的2%。但是，延期交货违约金的支付总额不得超过迟交货物部分合同金额的30 %。</w:t>
      </w:r>
    </w:p>
    <w:p>
      <w:pPr>
        <w:pStyle w:val="6"/>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2"/>
          <w:szCs w:val="22"/>
        </w:rPr>
        <w:t>10.2、如果中标人未能按合同规定的时间或双方另行确定的延期交货期按时足额交货的（不可抗力除外），每逾期1天，中标人应按迟交货物金额的2%向采购人支付逾期交货的违约金。逾期交货违约金的支付采购人有权从未付的合同货款中予以扣除。若中标人逾期交货达30天以上（含30天）以上的，采购人有权单方解除本合同，中标人仍应按上述约定支付延期交货违约金。若因此给采购人造成损失的，还应赔偿采购人所受的损失。</w:t>
      </w:r>
    </w:p>
    <w:p>
      <w:pPr>
        <w:pStyle w:val="6"/>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2"/>
          <w:szCs w:val="22"/>
        </w:rPr>
        <w:t>10.3、若中标人不能交货的（逾期15个工作日视为不能交货，不可抗拒的因素除外）或交货不合格从而影响采购人正常使用的，中标人应向采购人偿付不能交货部分货款的  20%的违约金。违约金不足以补偿损失的，采购人有权要求中标人赔偿损失。</w:t>
      </w:r>
    </w:p>
    <w:p>
      <w:pPr>
        <w:pStyle w:val="6"/>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2"/>
          <w:szCs w:val="22"/>
        </w:rPr>
        <w:t>10.4、如果中标人未能按照合同约定的时间提供服务的，每逾期1天的，中标人应向采购人支付500元违约金，若因此给采购人造成损失的，中标人还应赔偿采购人所受的损失。</w:t>
      </w:r>
    </w:p>
    <w:p>
      <w:pPr>
        <w:pStyle w:val="6"/>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2"/>
          <w:szCs w:val="22"/>
        </w:rPr>
        <w:t>10.5、根据新仪器特点及技术要求中标人应对采购人的技术、管理人员进行培训。</w:t>
      </w:r>
    </w:p>
    <w:p>
      <w:pPr>
        <w:pStyle w:val="6"/>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2"/>
          <w:szCs w:val="22"/>
        </w:rPr>
        <w:t>10.6、中标人应向采购人提供完整的技术资料壹套。各项指标和参数应符合验收标准，采购人有权委托中国 有资格单位或机构对设备性能、精度进行校核。</w:t>
      </w:r>
    </w:p>
    <w:p>
      <w:pPr>
        <w:pStyle w:val="6"/>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2"/>
          <w:szCs w:val="22"/>
        </w:rPr>
        <w:t>10.7、中标人应提供设备的出厂检验报告、合格证书、装箱单。</w:t>
      </w:r>
    </w:p>
    <w:p>
      <w:pPr>
        <w:pStyle w:val="6"/>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2"/>
          <w:szCs w:val="22"/>
        </w:rPr>
        <w:t>10.8、中标人在接到采购人设备故障通知的48小时内派工程师到达现场，如一时无法修复的设备，须在48小时内提供备用机，确保临床业务开展。</w:t>
      </w:r>
    </w:p>
    <w:p>
      <w:pPr>
        <w:pStyle w:val="6"/>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2"/>
          <w:szCs w:val="22"/>
        </w:rPr>
        <w:t>10.9、中标人须免费提供及时的软件升级，硬件升级按此折扣，投标价今年内有效。</w:t>
      </w:r>
    </w:p>
    <w:p>
      <w:pPr>
        <w:pStyle w:val="6"/>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2"/>
          <w:szCs w:val="22"/>
        </w:rPr>
        <w:t>10.10、本标书中未明之处，可进行必要的咨询和补充说明。</w:t>
      </w:r>
    </w:p>
    <w:p>
      <w:pPr>
        <w:pStyle w:val="6"/>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2"/>
          <w:szCs w:val="22"/>
        </w:rPr>
        <w:t>10.11、设备验收合格后免费全面保修2年，终身维修。保修期内售后维修工程师4小时内响应，24小时到场。（如技术参数中已明确的按技术参数中的规定）。 </w:t>
      </w:r>
    </w:p>
    <w:p>
      <w:pPr>
        <w:pStyle w:val="6"/>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2"/>
          <w:szCs w:val="22"/>
        </w:rPr>
        <w:t>10.12、培训：安装同时现场培训，掌握基本操作和使用注意事项。</w:t>
      </w:r>
    </w:p>
    <w:p>
      <w:pPr>
        <w:pStyle w:val="6"/>
        <w:keepNext w:val="0"/>
        <w:keepLines w:val="0"/>
        <w:widowControl/>
        <w:suppressLineNumbers w:val="0"/>
        <w:spacing w:before="0" w:beforeAutospacing="0" w:after="150" w:afterAutospacing="0" w:line="360" w:lineRule="atLeast"/>
        <w:ind w:left="0" w:right="0"/>
        <w:rPr>
          <w:color w:val="auto"/>
        </w:rPr>
      </w:pPr>
      <w:r>
        <w:rPr>
          <w:rFonts w:hint="eastAsia" w:ascii="宋体" w:hAnsi="宋体" w:eastAsia="宋体" w:cs="宋体"/>
          <w:color w:val="auto"/>
          <w:sz w:val="22"/>
          <w:szCs w:val="22"/>
        </w:rPr>
        <w:t>10.13、以上条款由采购人全权解释。</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2"/>
          <w:szCs w:val="22"/>
        </w:rPr>
        <w:t>10.14、对于设 计原理不同的产品，只要能满足使用要求，经专家认可皆算符合上述技术规格要求。</w:t>
      </w:r>
    </w:p>
    <w:p>
      <w:pPr>
        <w:pStyle w:val="6"/>
        <w:keepNext w:val="0"/>
        <w:keepLines w:val="0"/>
        <w:widowControl/>
        <w:suppressLineNumbers w:val="0"/>
        <w:spacing w:before="75" w:beforeAutospacing="0" w:after="75" w:afterAutospacing="0"/>
        <w:ind w:left="0" w:right="0" w:firstLine="0"/>
        <w:rPr>
          <w:color w:val="auto"/>
        </w:rPr>
      </w:pP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四、其他事项</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1、除招标文件另有规定外，若出现有关法律、法规和规章有强制性规定但招标文件未列明的情形，则投标人应按照有关法律、法规和规章强制性规定执行。</w:t>
      </w:r>
    </w:p>
    <w:p>
      <w:pPr>
        <w:pStyle w:val="6"/>
        <w:keepNext w:val="0"/>
        <w:keepLines w:val="0"/>
        <w:widowControl/>
        <w:suppressLineNumbers w:val="0"/>
        <w:spacing w:before="75" w:beforeAutospacing="0" w:after="75" w:afterAutospacing="0"/>
        <w:ind w:left="0" w:right="0" w:firstLine="0"/>
        <w:rPr>
          <w:color w:val="auto"/>
        </w:rPr>
      </w:pPr>
      <w:r>
        <w:rPr>
          <w:color w:val="auto"/>
          <w:spacing w:val="0"/>
          <w:sz w:val="24"/>
          <w:szCs w:val="24"/>
        </w:rPr>
        <w:t>2、其他：</w:t>
      </w:r>
    </w:p>
    <w:p>
      <w:pPr>
        <w:pStyle w:val="6"/>
        <w:keepNext w:val="0"/>
        <w:keepLines w:val="0"/>
        <w:widowControl/>
        <w:suppressLineNumbers w:val="0"/>
        <w:spacing w:before="0" w:beforeAutospacing="0" w:after="150" w:afterAutospacing="0"/>
        <w:ind w:left="0" w:right="0"/>
        <w:rPr>
          <w:color w:val="auto"/>
        </w:rPr>
      </w:pPr>
    </w:p>
    <w:p>
      <w:pPr>
        <w:pStyle w:val="6"/>
        <w:keepNext w:val="0"/>
        <w:keepLines w:val="0"/>
        <w:widowControl/>
        <w:suppressLineNumbers w:val="0"/>
        <w:spacing w:before="75" w:beforeAutospacing="0" w:after="75" w:afterAutospacing="0"/>
        <w:ind w:left="0" w:right="0" w:firstLine="0"/>
        <w:rPr>
          <w:color w:val="auto"/>
        </w:rPr>
      </w:pPr>
      <w:r>
        <w:rPr>
          <w:color w:val="auto"/>
          <w:spacing w:val="0"/>
          <w:sz w:val="24"/>
          <w:szCs w:val="24"/>
        </w:rPr>
        <w:t> </w:t>
      </w:r>
    </w:p>
    <w:p>
      <w:pPr>
        <w:rPr>
          <w:rStyle w:val="9"/>
          <w:rFonts w:hint="eastAsia" w:ascii="宋体" w:hAnsi="宋体" w:eastAsia="宋体" w:cs="宋体"/>
          <w:b/>
          <w:color w:val="auto"/>
          <w:spacing w:val="0"/>
          <w:sz w:val="31"/>
          <w:szCs w:val="31"/>
        </w:rPr>
      </w:pPr>
      <w:r>
        <w:rPr>
          <w:rStyle w:val="9"/>
          <w:rFonts w:hint="eastAsia" w:ascii="宋体" w:hAnsi="宋体" w:eastAsia="宋体" w:cs="宋体"/>
          <w:b/>
          <w:color w:val="auto"/>
          <w:spacing w:val="0"/>
          <w:sz w:val="31"/>
          <w:szCs w:val="31"/>
        </w:rPr>
        <w:br w:type="page"/>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31"/>
          <w:szCs w:val="31"/>
        </w:rPr>
        <w:t>第六章   政府采购合同（参考文本）</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24"/>
          <w:szCs w:val="24"/>
        </w:rPr>
        <w:t>编制说明</w:t>
      </w:r>
    </w:p>
    <w:p>
      <w:pPr>
        <w:pStyle w:val="6"/>
        <w:keepNext w:val="0"/>
        <w:keepLines w:val="0"/>
        <w:widowControl/>
        <w:suppressLineNumbers w:val="0"/>
        <w:spacing w:before="75" w:beforeAutospacing="0" w:after="75" w:afterAutospacing="0"/>
        <w:ind w:left="0" w:right="0" w:firstLine="0"/>
        <w:rPr>
          <w:color w:val="auto"/>
        </w:rPr>
      </w:pPr>
      <w:r>
        <w:rPr>
          <w:rStyle w:val="9"/>
          <w:rFonts w:hint="eastAsia" w:ascii="宋体" w:hAnsi="宋体" w:eastAsia="宋体" w:cs="宋体"/>
          <w:b/>
          <w:color w:val="auto"/>
          <w:spacing w:val="0"/>
          <w:sz w:val="24"/>
          <w:szCs w:val="24"/>
        </w:rPr>
        <w:t>1、签订合同应遵守政府采购法、合同法。</w:t>
      </w:r>
    </w:p>
    <w:p>
      <w:pPr>
        <w:pStyle w:val="6"/>
        <w:keepNext w:val="0"/>
        <w:keepLines w:val="0"/>
        <w:widowControl/>
        <w:suppressLineNumbers w:val="0"/>
        <w:spacing w:before="75" w:beforeAutospacing="0" w:after="75" w:afterAutospacing="0"/>
        <w:ind w:left="0" w:right="0" w:firstLine="0"/>
        <w:rPr>
          <w:color w:val="auto"/>
        </w:rPr>
      </w:pPr>
      <w:r>
        <w:rPr>
          <w:rStyle w:val="9"/>
          <w:rFonts w:hint="eastAsia" w:ascii="宋体" w:hAnsi="宋体" w:eastAsia="宋体" w:cs="宋体"/>
          <w:b/>
          <w:color w:val="auto"/>
          <w:spacing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pStyle w:val="6"/>
        <w:keepNext w:val="0"/>
        <w:keepLines w:val="0"/>
        <w:widowControl/>
        <w:suppressLineNumbers w:val="0"/>
        <w:spacing w:before="75" w:beforeAutospacing="0" w:after="75" w:afterAutospacing="0"/>
        <w:ind w:left="0" w:right="0" w:firstLine="0"/>
        <w:rPr>
          <w:color w:val="auto"/>
        </w:rPr>
      </w:pPr>
      <w:r>
        <w:rPr>
          <w:rStyle w:val="9"/>
          <w:rFonts w:hint="eastAsia" w:ascii="宋体" w:hAnsi="宋体" w:eastAsia="宋体" w:cs="宋体"/>
          <w:b/>
          <w:color w:val="auto"/>
          <w:spacing w:val="0"/>
          <w:sz w:val="24"/>
          <w:szCs w:val="24"/>
        </w:rPr>
        <w:t>3、国家有关部门对若干合同有规范文本的，可使用相应合同文本。</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u w:val="single"/>
        </w:rPr>
        <w:t> </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甲方：</w:t>
      </w:r>
      <w:r>
        <w:rPr>
          <w:rFonts w:hint="eastAsia" w:ascii="宋体" w:hAnsi="宋体" w:eastAsia="宋体" w:cs="宋体"/>
          <w:color w:val="auto"/>
          <w:spacing w:val="0"/>
          <w:sz w:val="24"/>
          <w:szCs w:val="24"/>
          <w:u w:val="single"/>
        </w:rPr>
        <w:t>（采购人全称）</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乙方：</w:t>
      </w:r>
      <w:r>
        <w:rPr>
          <w:rFonts w:hint="eastAsia" w:ascii="宋体" w:hAnsi="宋体" w:eastAsia="宋体" w:cs="宋体"/>
          <w:color w:val="auto"/>
          <w:spacing w:val="0"/>
          <w:sz w:val="24"/>
          <w:szCs w:val="24"/>
          <w:u w:val="single"/>
        </w:rPr>
        <w:t>（中标人全称）</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根据招标编号为</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的</w:t>
      </w:r>
      <w:r>
        <w:rPr>
          <w:rFonts w:hint="eastAsia" w:ascii="宋体" w:hAnsi="宋体" w:eastAsia="宋体" w:cs="宋体"/>
          <w:color w:val="auto"/>
          <w:spacing w:val="0"/>
          <w:sz w:val="24"/>
          <w:szCs w:val="24"/>
          <w:u w:val="single"/>
        </w:rPr>
        <w:t>（填写“项目名称”）</w:t>
      </w:r>
      <w:r>
        <w:rPr>
          <w:rFonts w:hint="eastAsia" w:ascii="宋体" w:hAnsi="宋体" w:eastAsia="宋体" w:cs="宋体"/>
          <w:color w:val="auto"/>
          <w:spacing w:val="0"/>
          <w:sz w:val="24"/>
          <w:szCs w:val="24"/>
        </w:rPr>
        <w:t>项目（以下简称：“本项目”）的招标结果，乙方为中标人。现经甲乙双方友好协商，就以下事项达成一致并签订本合同：</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1、下列合同文件是构成本合同不可分割的部分：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1.1合同条款；</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1.2招标文件、乙方的投标文件；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1.3其他文件或材料：□无。□</w:t>
      </w:r>
      <w:r>
        <w:rPr>
          <w:rFonts w:hint="eastAsia" w:ascii="宋体" w:hAnsi="宋体" w:eastAsia="宋体" w:cs="宋体"/>
          <w:color w:val="auto"/>
          <w:spacing w:val="0"/>
          <w:sz w:val="24"/>
          <w:szCs w:val="24"/>
          <w:u w:val="single"/>
        </w:rPr>
        <w:t>（按照实际情况编制填写需要增加的内容）</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2、合同标的</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3、合同总金额</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3.1合同总金额为人民币大写：</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元（￥</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4、合同标的交付时间、地点和条件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4.1交付时间：</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4.2交付地点：</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4.3交付条件：</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5、合同标的应符合招标文件、乙方投标文件的规定或约定，具体如下：</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6、验收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6.1验收应按照招标文件、乙方投标文件的规定或约定进行，具体如下：</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6.2本项目是否邀请其他投标人参与验收：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□不邀请。□邀请，具体如下：</w:t>
      </w:r>
      <w:r>
        <w:rPr>
          <w:rFonts w:hint="eastAsia" w:ascii="宋体" w:hAnsi="宋体" w:eastAsia="宋体" w:cs="宋体"/>
          <w:color w:val="auto"/>
          <w:spacing w:val="0"/>
          <w:sz w:val="24"/>
          <w:szCs w:val="24"/>
          <w:u w:val="single"/>
        </w:rPr>
        <w:t>（按照招标文件规定填写）</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7、合同款项的支付应按照招标文件的规定进行，具体如下：</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（按照实际情况编制填写，可以是表格或文字描述，包括一次性支付或分期支付等）</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8、履约保证金</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□无。□有，具体如下：</w:t>
      </w:r>
      <w:r>
        <w:rPr>
          <w:rFonts w:hint="eastAsia" w:ascii="宋体" w:hAnsi="宋体" w:eastAsia="宋体" w:cs="宋体"/>
          <w:color w:val="auto"/>
          <w:spacing w:val="0"/>
          <w:sz w:val="24"/>
          <w:szCs w:val="24"/>
          <w:u w:val="single"/>
        </w:rPr>
        <w:t>（按照招标文件规定填写）</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9、合同有效期</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10、违约责任</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（按照实际情况编制填写，可以是表格或文字描述）</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11、知识产权</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auto"/>
          <w:spacing w:val="0"/>
          <w:sz w:val="24"/>
          <w:szCs w:val="24"/>
          <w:u w:val="single"/>
        </w:rPr>
        <w:t>（按照实际情况编制填写）</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12、解决争议的方法</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12.1甲、乙双方协商解决。</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12.2若协商解决不成，则通过下列途径之一解决：</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□提交仲裁委员会仲裁，具体如下：</w:t>
      </w:r>
      <w:r>
        <w:rPr>
          <w:rFonts w:hint="eastAsia" w:ascii="宋体" w:hAnsi="宋体" w:eastAsia="宋体" w:cs="宋体"/>
          <w:color w:val="auto"/>
          <w:spacing w:val="0"/>
          <w:sz w:val="24"/>
          <w:szCs w:val="24"/>
          <w:u w:val="single"/>
        </w:rPr>
        <w:t>（按照实际情况编制填写）</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□向人民法院提起诉讼，具体如下：</w:t>
      </w:r>
      <w:r>
        <w:rPr>
          <w:rFonts w:hint="eastAsia" w:ascii="宋体" w:hAnsi="宋体" w:eastAsia="宋体" w:cs="宋体"/>
          <w:color w:val="auto"/>
          <w:spacing w:val="0"/>
          <w:sz w:val="24"/>
          <w:szCs w:val="24"/>
          <w:u w:val="single"/>
        </w:rPr>
        <w:t>（按照实际情况编制填写）</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13、不可抗力</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color w:val="auto"/>
          <w:spacing w:val="0"/>
          <w:sz w:val="24"/>
          <w:szCs w:val="24"/>
        </w:rPr>
        <w:t>15</w:t>
      </w:r>
      <w:r>
        <w:rPr>
          <w:rFonts w:hint="eastAsia" w:ascii="宋体" w:hAnsi="宋体" w:eastAsia="宋体" w:cs="宋体"/>
          <w:color w:val="auto"/>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14、合同条款</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15、其他约定</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15.1合同文件与本合同具有同等法律效力。</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15.2本合同未尽事宜，双方可另行补充。</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15.3合同生效：自签订之日起生效；通过福建省政府采购网上公开信息系统采用电子形式签订合同的，签订之日以系统记载的双方使用各自</w:t>
      </w:r>
      <w:r>
        <w:rPr>
          <w:rFonts w:hint="default" w:ascii="Calibri" w:hAnsi="Calibri" w:cs="Calibri"/>
          <w:color w:val="auto"/>
          <w:spacing w:val="0"/>
          <w:sz w:val="24"/>
          <w:szCs w:val="24"/>
        </w:rPr>
        <w:t>CA</w:t>
      </w:r>
      <w:r>
        <w:rPr>
          <w:rFonts w:hint="eastAsia" w:ascii="宋体" w:hAnsi="宋体" w:eastAsia="宋体" w:cs="宋体"/>
          <w:color w:val="auto"/>
          <w:spacing w:val="0"/>
          <w:sz w:val="24"/>
          <w:szCs w:val="24"/>
        </w:rPr>
        <w:t>证书在合同上加盖单位公章或合同章的日期中的最晚时间为准。</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15.4本合同一式</w:t>
      </w:r>
      <w:r>
        <w:rPr>
          <w:rFonts w:hint="eastAsia" w:ascii="宋体" w:hAnsi="宋体" w:eastAsia="宋体" w:cs="宋体"/>
          <w:color w:val="auto"/>
          <w:spacing w:val="0"/>
          <w:sz w:val="24"/>
          <w:szCs w:val="24"/>
          <w:u w:val="single"/>
        </w:rPr>
        <w:t>（填写具体份数）</w:t>
      </w:r>
      <w:r>
        <w:rPr>
          <w:rFonts w:hint="eastAsia" w:ascii="宋体" w:hAnsi="宋体" w:eastAsia="宋体" w:cs="宋体"/>
          <w:color w:val="auto"/>
          <w:spacing w:val="0"/>
          <w:sz w:val="24"/>
          <w:szCs w:val="24"/>
        </w:rPr>
        <w:t>份，经双方授权代表签字并盖章后生效。甲方、乙方各执</w:t>
      </w:r>
      <w:r>
        <w:rPr>
          <w:rFonts w:hint="eastAsia" w:ascii="宋体" w:hAnsi="宋体" w:eastAsia="宋体" w:cs="宋体"/>
          <w:color w:val="auto"/>
          <w:spacing w:val="0"/>
          <w:sz w:val="24"/>
          <w:szCs w:val="24"/>
          <w:u w:val="single"/>
        </w:rPr>
        <w:t>（填写具体份数）</w:t>
      </w:r>
      <w:r>
        <w:rPr>
          <w:rFonts w:hint="eastAsia" w:ascii="宋体" w:hAnsi="宋体" w:eastAsia="宋体" w:cs="宋体"/>
          <w:color w:val="auto"/>
          <w:spacing w:val="0"/>
          <w:sz w:val="24"/>
          <w:szCs w:val="24"/>
        </w:rPr>
        <w:t>份，送</w:t>
      </w:r>
      <w:r>
        <w:rPr>
          <w:rFonts w:hint="eastAsia" w:ascii="宋体" w:hAnsi="宋体" w:eastAsia="宋体" w:cs="宋体"/>
          <w:color w:val="auto"/>
          <w:spacing w:val="0"/>
          <w:sz w:val="24"/>
          <w:szCs w:val="24"/>
          <w:u w:val="single"/>
        </w:rPr>
        <w:t>（填写需要备案的监管部门的全称）</w:t>
      </w:r>
      <w:r>
        <w:rPr>
          <w:rFonts w:hint="eastAsia" w:ascii="宋体" w:hAnsi="宋体" w:eastAsia="宋体" w:cs="宋体"/>
          <w:color w:val="auto"/>
          <w:spacing w:val="0"/>
          <w:sz w:val="24"/>
          <w:szCs w:val="24"/>
        </w:rPr>
        <w:t>备案</w:t>
      </w:r>
      <w:r>
        <w:rPr>
          <w:rFonts w:hint="eastAsia" w:ascii="宋体" w:hAnsi="宋体" w:eastAsia="宋体" w:cs="宋体"/>
          <w:color w:val="auto"/>
          <w:spacing w:val="0"/>
          <w:sz w:val="24"/>
          <w:szCs w:val="24"/>
          <w:u w:val="single"/>
        </w:rPr>
        <w:t>（填写具体份数）</w:t>
      </w:r>
      <w:r>
        <w:rPr>
          <w:rFonts w:hint="eastAsia" w:ascii="宋体" w:hAnsi="宋体" w:eastAsia="宋体" w:cs="宋体"/>
          <w:color w:val="auto"/>
          <w:spacing w:val="0"/>
          <w:sz w:val="24"/>
          <w:szCs w:val="24"/>
        </w:rPr>
        <w:t>份，具有同等效力。</w:t>
      </w:r>
    </w:p>
    <w:p>
      <w:pPr>
        <w:pStyle w:val="6"/>
        <w:keepNext w:val="0"/>
        <w:keepLines w:val="0"/>
        <w:widowControl/>
        <w:suppressLineNumbers w:val="0"/>
        <w:spacing w:before="75" w:beforeAutospacing="0" w:after="75" w:afterAutospacing="0"/>
        <w:ind w:left="0" w:right="0" w:firstLine="480"/>
        <w:rPr>
          <w:color w:val="auto"/>
        </w:rPr>
      </w:pPr>
      <w:r>
        <w:rPr>
          <w:rFonts w:hint="eastAsia" w:ascii="宋体" w:hAnsi="宋体" w:eastAsia="宋体" w:cs="宋体"/>
          <w:color w:val="auto"/>
          <w:spacing w:val="0"/>
          <w:sz w:val="24"/>
          <w:szCs w:val="24"/>
        </w:rPr>
        <w:t>15.5其他：□无。□</w:t>
      </w:r>
      <w:r>
        <w:rPr>
          <w:rFonts w:hint="eastAsia" w:ascii="宋体" w:hAnsi="宋体" w:eastAsia="宋体" w:cs="宋体"/>
          <w:color w:val="auto"/>
          <w:spacing w:val="0"/>
          <w:sz w:val="24"/>
          <w:szCs w:val="24"/>
          <w:u w:val="single"/>
        </w:rPr>
        <w:t>（按照实际情况编制填写需要增加的内容）</w:t>
      </w:r>
      <w:r>
        <w:rPr>
          <w:rFonts w:hint="eastAsia" w:ascii="宋体" w:hAnsi="宋体" w:eastAsia="宋体" w:cs="宋体"/>
          <w:color w:val="auto"/>
          <w:spacing w:val="0"/>
          <w:sz w:val="24"/>
          <w:szCs w:val="24"/>
        </w:rPr>
        <w:t>。</w:t>
      </w:r>
    </w:p>
    <w:p>
      <w:pPr>
        <w:pStyle w:val="6"/>
        <w:keepNext w:val="0"/>
        <w:keepLines w:val="0"/>
        <w:widowControl/>
        <w:suppressLineNumbers w:val="0"/>
        <w:spacing w:before="75" w:beforeAutospacing="0" w:after="75" w:afterAutospacing="0"/>
        <w:ind w:left="0" w:right="0" w:firstLine="0"/>
        <w:jc w:val="center"/>
        <w:rPr>
          <w:color w:val="auto"/>
        </w:rPr>
      </w:pPr>
      <w:r>
        <w:rPr>
          <w:rFonts w:hint="eastAsia" w:ascii="宋体" w:hAnsi="宋体" w:eastAsia="宋体" w:cs="宋体"/>
          <w:color w:val="auto"/>
          <w:spacing w:val="0"/>
          <w:sz w:val="24"/>
          <w:szCs w:val="24"/>
        </w:rPr>
        <w:t>（以下无正文）</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甲方：                                  乙方：</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住所：                                  住所：</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单位负责人：                            单位负责人：</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委托代理人：                            委托代理人：</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联系方法：                              联系方法：</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开户银行：                              开户银行：</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账号：                                  账号：</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 </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签订地点：</w:t>
      </w:r>
      <w:r>
        <w:rPr>
          <w:rFonts w:hint="eastAsia" w:ascii="宋体" w:hAnsi="宋体" w:eastAsia="宋体" w:cs="宋体"/>
          <w:color w:val="auto"/>
          <w:spacing w:val="0"/>
          <w:sz w:val="24"/>
          <w:szCs w:val="24"/>
          <w:u w:val="single"/>
        </w:rPr>
        <w:t>                </w:t>
      </w:r>
    </w:p>
    <w:p>
      <w:pPr>
        <w:pStyle w:val="6"/>
        <w:keepNext w:val="0"/>
        <w:keepLines w:val="0"/>
        <w:widowControl/>
        <w:suppressLineNumbers w:val="0"/>
        <w:spacing w:before="75" w:beforeAutospacing="0" w:after="75" w:afterAutospacing="0"/>
        <w:ind w:left="0" w:right="0" w:firstLine="0"/>
        <w:rPr>
          <w:color w:val="auto"/>
        </w:rPr>
      </w:pPr>
      <w:r>
        <w:rPr>
          <w:rFonts w:hint="eastAsia" w:ascii="宋体" w:hAnsi="宋体" w:eastAsia="宋体" w:cs="宋体"/>
          <w:color w:val="auto"/>
          <w:spacing w:val="0"/>
          <w:sz w:val="24"/>
          <w:szCs w:val="24"/>
        </w:rPr>
        <w:t>签订日期：</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年</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月</w:t>
      </w:r>
      <w:r>
        <w:rPr>
          <w:rFonts w:hint="eastAsia" w:ascii="宋体" w:hAnsi="宋体" w:eastAsia="宋体" w:cs="宋体"/>
          <w:color w:val="auto"/>
          <w:spacing w:val="0"/>
          <w:sz w:val="24"/>
          <w:szCs w:val="24"/>
          <w:u w:val="single"/>
        </w:rPr>
        <w:t>   </w:t>
      </w:r>
      <w:r>
        <w:rPr>
          <w:rFonts w:hint="eastAsia" w:ascii="宋体" w:hAnsi="宋体" w:eastAsia="宋体" w:cs="宋体"/>
          <w:color w:val="auto"/>
          <w:spacing w:val="0"/>
          <w:sz w:val="24"/>
          <w:szCs w:val="24"/>
        </w:rPr>
        <w:t>日</w:t>
      </w:r>
    </w:p>
    <w:p>
      <w:pPr>
        <w:pStyle w:val="6"/>
        <w:keepNext w:val="0"/>
        <w:keepLines w:val="0"/>
        <w:widowControl/>
        <w:suppressLineNumbers w:val="0"/>
        <w:spacing w:before="75" w:beforeAutospacing="0" w:after="75" w:afterAutospacing="0"/>
        <w:ind w:left="0" w:right="0" w:firstLine="0"/>
        <w:jc w:val="center"/>
        <w:rPr>
          <w:color w:val="auto"/>
        </w:rPr>
      </w:pPr>
      <w:r>
        <w:rPr>
          <w:color w:val="auto"/>
          <w:spacing w:val="0"/>
          <w:sz w:val="24"/>
          <w:szCs w:val="24"/>
        </w:rPr>
        <w:t> </w:t>
      </w:r>
    </w:p>
    <w:p>
      <w:pPr>
        <w:pStyle w:val="6"/>
        <w:keepNext w:val="0"/>
        <w:keepLines w:val="0"/>
        <w:widowControl/>
        <w:suppressLineNumbers w:val="0"/>
        <w:spacing w:before="75" w:beforeAutospacing="0" w:after="240" w:afterAutospacing="0"/>
        <w:ind w:left="0" w:right="0" w:firstLine="0"/>
        <w:rPr>
          <w:color w:val="auto"/>
        </w:rPr>
      </w:pPr>
      <w:r>
        <w:rPr>
          <w:color w:val="auto"/>
          <w:spacing w:val="0"/>
          <w:sz w:val="24"/>
          <w:szCs w:val="24"/>
        </w:rPr>
        <w:t> </w:t>
      </w:r>
    </w:p>
    <w:p>
      <w:pPr>
        <w:pStyle w:val="6"/>
        <w:keepNext w:val="0"/>
        <w:keepLines w:val="0"/>
        <w:widowControl/>
        <w:suppressLineNumbers w:val="0"/>
        <w:spacing w:before="75" w:beforeAutospacing="0" w:after="75" w:afterAutospacing="0"/>
        <w:ind w:left="0" w:right="0" w:firstLine="0"/>
        <w:rPr>
          <w:color w:val="auto"/>
        </w:rPr>
      </w:pPr>
      <w:r>
        <w:rPr>
          <w:rFonts w:hint="default" w:ascii="Calibri" w:hAnsi="Calibri" w:cs="Calibri"/>
          <w:color w:val="auto"/>
          <w:spacing w:val="0"/>
          <w:sz w:val="21"/>
          <w:szCs w:val="21"/>
        </w:rPr>
        <w:t>                                                                                  </w:t>
      </w:r>
    </w:p>
    <w:p>
      <w:pPr>
        <w:pStyle w:val="6"/>
        <w:keepNext w:val="0"/>
        <w:keepLines w:val="0"/>
        <w:widowControl/>
        <w:suppressLineNumbers w:val="0"/>
        <w:spacing w:before="75" w:beforeAutospacing="0" w:after="75" w:afterAutospacing="0"/>
        <w:ind w:left="0" w:right="0" w:firstLine="0"/>
        <w:jc w:val="center"/>
        <w:rPr>
          <w:color w:val="auto"/>
        </w:rPr>
      </w:pPr>
      <w:r>
        <w:rPr>
          <w:rStyle w:val="9"/>
          <w:rFonts w:hint="eastAsia" w:ascii="宋体" w:hAnsi="宋体" w:eastAsia="宋体" w:cs="宋体"/>
          <w:b/>
          <w:color w:val="auto"/>
          <w:spacing w:val="0"/>
          <w:sz w:val="31"/>
          <w:szCs w:val="31"/>
        </w:rPr>
        <w:t>第七章   投标文件格式</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4"/>
          <w:szCs w:val="24"/>
        </w:rPr>
        <w:t>编制说明</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4"/>
          <w:szCs w:val="24"/>
        </w:rPr>
        <w:t> </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1、除招标文件另有规定外，本章中：</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1.1涉及投标人的</w:t>
      </w:r>
      <w:r>
        <w:rPr>
          <w:rStyle w:val="9"/>
          <w:rFonts w:hint="eastAsia" w:ascii="宋体" w:hAnsi="宋体" w:eastAsia="宋体" w:cs="宋体"/>
          <w:b/>
          <w:color w:val="auto"/>
          <w:sz w:val="24"/>
          <w:szCs w:val="24"/>
        </w:rPr>
        <w:t>“全称”</w:t>
      </w:r>
      <w:r>
        <w:rPr>
          <w:rFonts w:hint="eastAsia" w:ascii="宋体" w:hAnsi="宋体" w:eastAsia="宋体" w:cs="宋体"/>
          <w:color w:val="auto"/>
          <w:sz w:val="24"/>
          <w:szCs w:val="24"/>
        </w:rPr>
        <w:t>：</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（1）不接受联合体投标的，指</w:t>
      </w:r>
      <w:r>
        <w:rPr>
          <w:rStyle w:val="9"/>
          <w:rFonts w:hint="eastAsia" w:ascii="宋体" w:hAnsi="宋体" w:eastAsia="宋体" w:cs="宋体"/>
          <w:b/>
          <w:color w:val="auto"/>
          <w:sz w:val="24"/>
          <w:szCs w:val="24"/>
        </w:rPr>
        <w:t>投标人的全称</w:t>
      </w:r>
      <w:r>
        <w:rPr>
          <w:rFonts w:hint="eastAsia" w:ascii="宋体" w:hAnsi="宋体" w:eastAsia="宋体" w:cs="宋体"/>
          <w:color w:val="auto"/>
          <w:sz w:val="24"/>
          <w:szCs w:val="24"/>
        </w:rPr>
        <w:t>。</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（2）接受联合体投标且投标人为联合体的，指</w:t>
      </w:r>
      <w:r>
        <w:rPr>
          <w:rStyle w:val="9"/>
          <w:rFonts w:hint="eastAsia" w:ascii="宋体" w:hAnsi="宋体" w:eastAsia="宋体" w:cs="宋体"/>
          <w:b/>
          <w:color w:val="auto"/>
          <w:sz w:val="24"/>
          <w:szCs w:val="24"/>
        </w:rPr>
        <w:t>牵头方的全称</w:t>
      </w:r>
      <w:r>
        <w:rPr>
          <w:rFonts w:hint="eastAsia" w:ascii="宋体" w:hAnsi="宋体" w:eastAsia="宋体" w:cs="宋体"/>
          <w:color w:val="auto"/>
          <w:sz w:val="24"/>
          <w:szCs w:val="24"/>
        </w:rPr>
        <w:t>并加注</w:t>
      </w:r>
      <w:r>
        <w:rPr>
          <w:rStyle w:val="9"/>
          <w:rFonts w:hint="eastAsia" w:ascii="宋体" w:hAnsi="宋体" w:eastAsia="宋体" w:cs="宋体"/>
          <w:b/>
          <w:color w:val="auto"/>
          <w:sz w:val="24"/>
          <w:szCs w:val="24"/>
        </w:rPr>
        <w:t>（联合体牵头方）</w:t>
      </w:r>
      <w:r>
        <w:rPr>
          <w:rFonts w:hint="eastAsia" w:ascii="宋体" w:hAnsi="宋体" w:eastAsia="宋体" w:cs="宋体"/>
          <w:color w:val="auto"/>
          <w:sz w:val="24"/>
          <w:szCs w:val="24"/>
        </w:rPr>
        <w:t>，即应表述为：</w:t>
      </w:r>
      <w:r>
        <w:rPr>
          <w:rStyle w:val="9"/>
          <w:rFonts w:hint="eastAsia" w:ascii="宋体" w:hAnsi="宋体" w:eastAsia="宋体" w:cs="宋体"/>
          <w:b/>
          <w:color w:val="auto"/>
          <w:sz w:val="24"/>
          <w:szCs w:val="24"/>
        </w:rPr>
        <w:t>“牵头方的全称（联合体牵头方）”</w:t>
      </w:r>
      <w:r>
        <w:rPr>
          <w:rFonts w:hint="eastAsia" w:ascii="宋体" w:hAnsi="宋体" w:eastAsia="宋体" w:cs="宋体"/>
          <w:color w:val="auto"/>
          <w:sz w:val="24"/>
          <w:szCs w:val="24"/>
        </w:rPr>
        <w:t>。</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1.2涉及投标人</w:t>
      </w:r>
      <w:r>
        <w:rPr>
          <w:rStyle w:val="9"/>
          <w:rFonts w:hint="eastAsia" w:ascii="宋体" w:hAnsi="宋体" w:eastAsia="宋体" w:cs="宋体"/>
          <w:b/>
          <w:color w:val="auto"/>
          <w:sz w:val="24"/>
          <w:szCs w:val="24"/>
        </w:rPr>
        <w:t>“加盖单位公章”</w:t>
      </w:r>
      <w:r>
        <w:rPr>
          <w:rFonts w:hint="eastAsia" w:ascii="宋体" w:hAnsi="宋体" w:eastAsia="宋体" w:cs="宋体"/>
          <w:color w:val="auto"/>
          <w:sz w:val="24"/>
          <w:szCs w:val="24"/>
        </w:rPr>
        <w:t>：</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（1）不接受联合体投标的，指</w:t>
      </w:r>
      <w:r>
        <w:rPr>
          <w:rStyle w:val="9"/>
          <w:rFonts w:hint="eastAsia" w:ascii="宋体" w:hAnsi="宋体" w:eastAsia="宋体" w:cs="宋体"/>
          <w:b/>
          <w:color w:val="auto"/>
          <w:sz w:val="24"/>
          <w:szCs w:val="24"/>
        </w:rPr>
        <w:t>加盖投标人的单位公章</w:t>
      </w:r>
      <w:r>
        <w:rPr>
          <w:rFonts w:hint="eastAsia" w:ascii="宋体" w:hAnsi="宋体" w:eastAsia="宋体" w:cs="宋体"/>
          <w:color w:val="auto"/>
          <w:sz w:val="24"/>
          <w:szCs w:val="24"/>
        </w:rPr>
        <w:t>。</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（2）接受联合体投标且投标人为联合体的，指</w:t>
      </w:r>
      <w:r>
        <w:rPr>
          <w:rStyle w:val="9"/>
          <w:rFonts w:hint="eastAsia" w:ascii="宋体" w:hAnsi="宋体" w:eastAsia="宋体" w:cs="宋体"/>
          <w:b/>
          <w:color w:val="auto"/>
          <w:sz w:val="24"/>
          <w:szCs w:val="24"/>
        </w:rPr>
        <w:t>加盖联合体牵头方的单位公章</w:t>
      </w:r>
      <w:r>
        <w:rPr>
          <w:rFonts w:hint="eastAsia" w:ascii="宋体" w:hAnsi="宋体" w:eastAsia="宋体" w:cs="宋体"/>
          <w:color w:val="auto"/>
          <w:sz w:val="24"/>
          <w:szCs w:val="24"/>
        </w:rPr>
        <w:t>。</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1.3涉及</w:t>
      </w:r>
      <w:r>
        <w:rPr>
          <w:rStyle w:val="9"/>
          <w:rFonts w:hint="eastAsia" w:ascii="宋体" w:hAnsi="宋体" w:eastAsia="宋体" w:cs="宋体"/>
          <w:b/>
          <w:color w:val="auto"/>
          <w:sz w:val="24"/>
          <w:szCs w:val="24"/>
        </w:rPr>
        <w:t>“投标人代表签字”</w:t>
      </w:r>
      <w:r>
        <w:rPr>
          <w:rFonts w:hint="eastAsia" w:ascii="宋体" w:hAnsi="宋体" w:eastAsia="宋体" w:cs="宋体"/>
          <w:color w:val="auto"/>
          <w:sz w:val="24"/>
          <w:szCs w:val="24"/>
        </w:rPr>
        <w:t>：</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（1）不接受联合体投标的，指由</w:t>
      </w:r>
      <w:r>
        <w:rPr>
          <w:rStyle w:val="9"/>
          <w:rFonts w:hint="eastAsia" w:ascii="宋体" w:hAnsi="宋体" w:eastAsia="宋体" w:cs="宋体"/>
          <w:b/>
          <w:color w:val="auto"/>
          <w:sz w:val="24"/>
          <w:szCs w:val="24"/>
        </w:rPr>
        <w:t>投标人的单位负责人或其授权的委托代理人签字</w:t>
      </w:r>
      <w:r>
        <w:rPr>
          <w:rFonts w:hint="eastAsia" w:ascii="宋体" w:hAnsi="宋体" w:eastAsia="宋体" w:cs="宋体"/>
          <w:color w:val="auto"/>
          <w:sz w:val="24"/>
          <w:szCs w:val="24"/>
        </w:rPr>
        <w:t>，由委托代理人签字的，应提供“单位负责人授权书”。</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（2）接受联合体投标且投标人为联合体的，指由</w:t>
      </w:r>
      <w:r>
        <w:rPr>
          <w:rStyle w:val="9"/>
          <w:rFonts w:hint="eastAsia" w:ascii="宋体" w:hAnsi="宋体" w:eastAsia="宋体" w:cs="宋体"/>
          <w:b/>
          <w:color w:val="auto"/>
          <w:sz w:val="24"/>
          <w:szCs w:val="24"/>
        </w:rPr>
        <w:t>联合体牵头方的单位负责人或其授权的委托代理人签字</w:t>
      </w:r>
      <w:r>
        <w:rPr>
          <w:rFonts w:hint="eastAsia" w:ascii="宋体" w:hAnsi="宋体" w:eastAsia="宋体" w:cs="宋体"/>
          <w:color w:val="auto"/>
          <w:sz w:val="24"/>
          <w:szCs w:val="24"/>
        </w:rPr>
        <w:t>，由委托代理人签字的，应提供“单位负责人授权书”。</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1.4</w:t>
      </w:r>
      <w:r>
        <w:rPr>
          <w:rStyle w:val="9"/>
          <w:rFonts w:hint="eastAsia" w:ascii="宋体" w:hAnsi="宋体" w:eastAsia="宋体" w:cs="宋体"/>
          <w:b/>
          <w:color w:val="auto"/>
          <w:sz w:val="24"/>
          <w:szCs w:val="24"/>
        </w:rPr>
        <w:t>“其他组织”</w:t>
      </w:r>
      <w:r>
        <w:rPr>
          <w:rFonts w:hint="eastAsia" w:ascii="宋体" w:hAnsi="宋体" w:eastAsia="宋体" w:cs="宋体"/>
          <w:color w:val="auto"/>
          <w:sz w:val="24"/>
          <w:szCs w:val="24"/>
        </w:rPr>
        <w:t>指合伙企业、非企业专业服务机构、个体工商户、农村承包经营户等。</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1.5</w:t>
      </w:r>
      <w:r>
        <w:rPr>
          <w:rStyle w:val="9"/>
          <w:rFonts w:hint="eastAsia" w:ascii="宋体" w:hAnsi="宋体" w:eastAsia="宋体" w:cs="宋体"/>
          <w:b/>
          <w:color w:val="auto"/>
          <w:sz w:val="24"/>
          <w:szCs w:val="24"/>
        </w:rPr>
        <w:t>“自然人”</w:t>
      </w:r>
      <w:r>
        <w:rPr>
          <w:rFonts w:hint="eastAsia" w:ascii="宋体" w:hAnsi="宋体" w:eastAsia="宋体" w:cs="宋体"/>
          <w:color w:val="auto"/>
          <w:sz w:val="24"/>
          <w:szCs w:val="24"/>
        </w:rPr>
        <w:t>指具有完全民事行为能力、能够承担民事责任和义务的中国公民。</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2、除招标文件另有规定外，本章中</w:t>
      </w:r>
      <w:r>
        <w:rPr>
          <w:rStyle w:val="9"/>
          <w:rFonts w:hint="eastAsia" w:ascii="宋体" w:hAnsi="宋体" w:eastAsia="宋体" w:cs="宋体"/>
          <w:b/>
          <w:color w:val="auto"/>
          <w:sz w:val="24"/>
          <w:szCs w:val="24"/>
        </w:rPr>
        <w:t>“投标人的资格及资信证明文件”</w:t>
      </w:r>
      <w:r>
        <w:rPr>
          <w:rFonts w:hint="eastAsia" w:ascii="宋体" w:hAnsi="宋体" w:eastAsia="宋体" w:cs="宋体"/>
          <w:color w:val="auto"/>
          <w:sz w:val="24"/>
          <w:szCs w:val="24"/>
        </w:rPr>
        <w:t>：</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2.1投标人应按照招标文件第四章第</w:t>
      </w:r>
      <w:r>
        <w:rPr>
          <w:rFonts w:hint="default" w:ascii="Calibri" w:hAnsi="Calibri" w:eastAsia="宋体" w:cs="Calibri"/>
          <w:color w:val="auto"/>
          <w:sz w:val="24"/>
          <w:szCs w:val="24"/>
        </w:rPr>
        <w:t>1.3</w:t>
      </w:r>
      <w:r>
        <w:rPr>
          <w:rFonts w:hint="eastAsia" w:ascii="宋体" w:hAnsi="宋体" w:eastAsia="宋体" w:cs="宋体"/>
          <w:color w:val="auto"/>
          <w:sz w:val="24"/>
          <w:szCs w:val="24"/>
        </w:rPr>
        <w:t>条第（</w:t>
      </w:r>
      <w:r>
        <w:rPr>
          <w:rFonts w:hint="default" w:ascii="Calibri" w:hAnsi="Calibri" w:eastAsia="宋体" w:cs="Calibri"/>
          <w:color w:val="auto"/>
          <w:sz w:val="24"/>
          <w:szCs w:val="24"/>
        </w:rPr>
        <w:t>2</w:t>
      </w:r>
      <w:r>
        <w:rPr>
          <w:rFonts w:hint="eastAsia" w:ascii="宋体" w:hAnsi="宋体" w:eastAsia="宋体" w:cs="宋体"/>
          <w:color w:val="auto"/>
          <w:sz w:val="24"/>
          <w:szCs w:val="24"/>
        </w:rPr>
        <w:t>）款规定及本章规定进行编制，如有必要，可增加附页，附页作为资格及资信文件的组成部分。</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2.2接受联合体投标且投标人为联合体的，联合体中的各方均应按照本章第</w:t>
      </w:r>
      <w:r>
        <w:rPr>
          <w:rFonts w:hint="default" w:ascii="Calibri" w:hAnsi="Calibri" w:eastAsia="宋体" w:cs="Calibri"/>
          <w:color w:val="auto"/>
          <w:sz w:val="24"/>
          <w:szCs w:val="24"/>
        </w:rPr>
        <w:t>2.1</w:t>
      </w:r>
      <w:r>
        <w:rPr>
          <w:rFonts w:hint="eastAsia" w:ascii="宋体" w:hAnsi="宋体" w:eastAsia="宋体" w:cs="宋体"/>
          <w:color w:val="auto"/>
          <w:sz w:val="24"/>
          <w:szCs w:val="24"/>
        </w:rPr>
        <w:t>条规定提交相应的全部资料。</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3、投标人对投标文件的索引应编制页码。</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4、除招标文件另有规定外，本章中：</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4.2除《检察机关行贿犯罪档案查询结果告知函》外，若投标人提供注明“复印件无效”的证明材料或资料，其纸质投标文件正本中应提供原件。</w:t>
      </w:r>
    </w:p>
    <w:p>
      <w:pPr>
        <w:pStyle w:val="6"/>
        <w:keepNext w:val="0"/>
        <w:keepLines w:val="0"/>
        <w:widowControl/>
        <w:suppressLineNumbers w:val="0"/>
        <w:spacing w:before="0" w:beforeAutospacing="0" w:after="150" w:afterAutospacing="0"/>
        <w:ind w:left="0" w:right="0" w:firstLine="480"/>
        <w:rPr>
          <w:color w:val="auto"/>
        </w:rPr>
      </w:pPr>
      <w:r>
        <w:rPr>
          <w:rFonts w:hint="eastAsia" w:ascii="宋体" w:hAnsi="宋体" w:eastAsia="宋体" w:cs="宋体"/>
          <w:color w:val="auto"/>
          <w:sz w:val="24"/>
          <w:szCs w:val="24"/>
        </w:rPr>
        <w:t>4.3《检察机关行贿犯罪档案查询结果告知函》：投标人在纸质投标文件正本中提供原件、复印件（含扫描件）、符合本章规定的打印件（或截图）皆可。</w:t>
      </w:r>
    </w:p>
    <w:p>
      <w:pPr>
        <w:pStyle w:val="6"/>
        <w:keepNext w:val="0"/>
        <w:keepLines w:val="0"/>
        <w:widowControl/>
        <w:suppressLineNumbers w:val="0"/>
        <w:spacing w:before="0" w:beforeAutospacing="0" w:after="150" w:afterAutospacing="0"/>
        <w:ind w:left="0" w:right="0"/>
        <w:rPr>
          <w:color w:val="auto"/>
        </w:rPr>
      </w:pP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8"/>
          <w:szCs w:val="28"/>
        </w:rPr>
        <w:t>封面格式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48"/>
          <w:szCs w:val="48"/>
        </w:rPr>
        <w:t>福建省政府采购投标文件</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48"/>
          <w:szCs w:val="48"/>
        </w:rPr>
        <w:t>（资格及资信证明部分）</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36"/>
          <w:szCs w:val="36"/>
          <w:u w:val="single"/>
        </w:rPr>
        <w:t>（填写正本或副本）</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firstLine="1920"/>
        <w:rPr>
          <w:color w:val="auto"/>
        </w:rPr>
      </w:pPr>
      <w:r>
        <w:rPr>
          <w:rStyle w:val="9"/>
          <w:rFonts w:hint="eastAsia" w:ascii="宋体" w:hAnsi="宋体" w:eastAsia="宋体" w:cs="宋体"/>
          <w:b/>
          <w:color w:val="auto"/>
          <w:sz w:val="31"/>
          <w:szCs w:val="31"/>
        </w:rPr>
        <w:t>项目名称：</w:t>
      </w:r>
      <w:r>
        <w:rPr>
          <w:rStyle w:val="9"/>
          <w:rFonts w:hint="eastAsia" w:ascii="宋体" w:hAnsi="宋体" w:eastAsia="宋体" w:cs="宋体"/>
          <w:b/>
          <w:color w:val="auto"/>
          <w:sz w:val="31"/>
          <w:szCs w:val="31"/>
          <w:u w:val="single"/>
        </w:rPr>
        <w:t>（由投标人填写）</w:t>
      </w:r>
    </w:p>
    <w:p>
      <w:pPr>
        <w:pStyle w:val="6"/>
        <w:keepNext w:val="0"/>
        <w:keepLines w:val="0"/>
        <w:widowControl/>
        <w:suppressLineNumbers w:val="0"/>
        <w:spacing w:before="0" w:beforeAutospacing="0" w:after="150" w:afterAutospacing="0"/>
        <w:ind w:left="0" w:right="0" w:firstLine="1920"/>
        <w:rPr>
          <w:color w:val="auto"/>
        </w:rPr>
      </w:pPr>
      <w:r>
        <w:rPr>
          <w:rStyle w:val="9"/>
          <w:rFonts w:hint="eastAsia" w:ascii="宋体" w:hAnsi="宋体" w:eastAsia="宋体" w:cs="宋体"/>
          <w:b/>
          <w:color w:val="auto"/>
          <w:sz w:val="31"/>
          <w:szCs w:val="31"/>
        </w:rPr>
        <w:t>备案编号：</w:t>
      </w:r>
      <w:r>
        <w:rPr>
          <w:rStyle w:val="9"/>
          <w:rFonts w:hint="eastAsia" w:ascii="宋体" w:hAnsi="宋体" w:eastAsia="宋体" w:cs="宋体"/>
          <w:b/>
          <w:color w:val="auto"/>
          <w:sz w:val="31"/>
          <w:szCs w:val="31"/>
          <w:u w:val="single"/>
        </w:rPr>
        <w:t>（由投标人填写）</w:t>
      </w:r>
    </w:p>
    <w:p>
      <w:pPr>
        <w:pStyle w:val="6"/>
        <w:keepNext w:val="0"/>
        <w:keepLines w:val="0"/>
        <w:widowControl/>
        <w:suppressLineNumbers w:val="0"/>
        <w:spacing w:before="0" w:beforeAutospacing="0" w:after="150" w:afterAutospacing="0"/>
        <w:ind w:left="0" w:right="0" w:firstLine="1920"/>
        <w:rPr>
          <w:color w:val="auto"/>
        </w:rPr>
      </w:pPr>
      <w:r>
        <w:rPr>
          <w:rStyle w:val="9"/>
          <w:rFonts w:hint="eastAsia" w:ascii="宋体" w:hAnsi="宋体" w:eastAsia="宋体" w:cs="宋体"/>
          <w:b/>
          <w:color w:val="auto"/>
          <w:sz w:val="31"/>
          <w:szCs w:val="31"/>
        </w:rPr>
        <w:t>招标编号：</w:t>
      </w:r>
      <w:r>
        <w:rPr>
          <w:rStyle w:val="9"/>
          <w:rFonts w:hint="eastAsia" w:ascii="宋体" w:hAnsi="宋体" w:eastAsia="宋体" w:cs="宋体"/>
          <w:b/>
          <w:color w:val="auto"/>
          <w:sz w:val="31"/>
          <w:szCs w:val="31"/>
          <w:u w:val="single"/>
        </w:rPr>
        <w:t>（由投标人填写）</w:t>
      </w:r>
    </w:p>
    <w:p>
      <w:pPr>
        <w:pStyle w:val="6"/>
        <w:keepNext w:val="0"/>
        <w:keepLines w:val="0"/>
        <w:widowControl/>
        <w:suppressLineNumbers w:val="0"/>
        <w:spacing w:before="0" w:beforeAutospacing="0" w:after="150" w:afterAutospacing="0"/>
        <w:ind w:left="0" w:right="0" w:firstLine="1920"/>
        <w:rPr>
          <w:color w:val="auto"/>
        </w:rPr>
      </w:pPr>
      <w:r>
        <w:rPr>
          <w:rStyle w:val="9"/>
          <w:rFonts w:hint="eastAsia" w:ascii="宋体" w:hAnsi="宋体" w:eastAsia="宋体" w:cs="宋体"/>
          <w:b/>
          <w:color w:val="auto"/>
          <w:sz w:val="31"/>
          <w:szCs w:val="31"/>
        </w:rPr>
        <w:t>所投合同包：</w:t>
      </w:r>
      <w:r>
        <w:rPr>
          <w:rStyle w:val="9"/>
          <w:rFonts w:hint="eastAsia" w:ascii="宋体" w:hAnsi="宋体" w:eastAsia="宋体" w:cs="宋体"/>
          <w:b/>
          <w:color w:val="auto"/>
          <w:sz w:val="31"/>
          <w:szCs w:val="31"/>
          <w:u w:val="single"/>
        </w:rPr>
        <w:t>（由投标人填写）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31"/>
          <w:szCs w:val="31"/>
        </w:rPr>
        <w:t>投标人：</w:t>
      </w:r>
      <w:r>
        <w:rPr>
          <w:rStyle w:val="9"/>
          <w:rFonts w:hint="eastAsia" w:ascii="宋体" w:hAnsi="宋体" w:eastAsia="宋体" w:cs="宋体"/>
          <w:b/>
          <w:color w:val="auto"/>
          <w:sz w:val="31"/>
          <w:szCs w:val="31"/>
          <w:u w:val="single"/>
        </w:rPr>
        <w:t>（填写“全称”）</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31"/>
          <w:szCs w:val="31"/>
          <w:u w:val="single"/>
        </w:rPr>
        <w:t>（由投标人填写）</w:t>
      </w:r>
      <w:r>
        <w:rPr>
          <w:rStyle w:val="9"/>
          <w:rFonts w:hint="eastAsia" w:ascii="宋体" w:hAnsi="宋体" w:eastAsia="宋体" w:cs="宋体"/>
          <w:b/>
          <w:color w:val="auto"/>
          <w:sz w:val="31"/>
          <w:szCs w:val="31"/>
        </w:rPr>
        <w:t>年</w:t>
      </w:r>
      <w:r>
        <w:rPr>
          <w:rStyle w:val="9"/>
          <w:rFonts w:hint="eastAsia" w:ascii="宋体" w:hAnsi="宋体" w:eastAsia="宋体" w:cs="宋体"/>
          <w:b/>
          <w:color w:val="auto"/>
          <w:sz w:val="31"/>
          <w:szCs w:val="31"/>
          <w:u w:val="single"/>
        </w:rPr>
        <w:t>（由投标人填写）</w:t>
      </w:r>
      <w:r>
        <w:rPr>
          <w:rStyle w:val="9"/>
          <w:rFonts w:hint="eastAsia" w:ascii="宋体" w:hAnsi="宋体" w:eastAsia="宋体" w:cs="宋体"/>
          <w:b/>
          <w:color w:val="auto"/>
          <w:sz w:val="31"/>
          <w:szCs w:val="31"/>
        </w:rPr>
        <w:t>月</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8"/>
          <w:szCs w:val="28"/>
        </w:rPr>
        <w:t>索引</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一、投标函</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二、投标人的资格及资信证明文件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三、投标保证金</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资格及资信证明部分中不得出现报价部分的全部或部分的投标报价信息（或组成资料），否则</w:t>
      </w:r>
      <w:r>
        <w:rPr>
          <w:rStyle w:val="9"/>
          <w:rFonts w:hint="eastAsia" w:ascii="宋体" w:hAnsi="宋体" w:eastAsia="宋体" w:cs="宋体"/>
          <w:b/>
          <w:color w:val="auto"/>
          <w:sz w:val="21"/>
          <w:szCs w:val="21"/>
        </w:rPr>
        <w:t>资格审查不合格</w:t>
      </w: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rPr>
          <w:color w:val="auto"/>
        </w:rPr>
      </w:pP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1"/>
          <w:szCs w:val="21"/>
        </w:rPr>
        <w:t>一、投标函</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兹收到贵单位关于</w:t>
      </w:r>
      <w:r>
        <w:rPr>
          <w:rFonts w:hint="eastAsia" w:ascii="宋体" w:hAnsi="宋体" w:eastAsia="宋体" w:cs="宋体"/>
          <w:color w:val="auto"/>
          <w:sz w:val="21"/>
          <w:szCs w:val="21"/>
          <w:u w:val="single"/>
        </w:rPr>
        <w:t>（填写“项目名称”）</w:t>
      </w:r>
      <w:r>
        <w:rPr>
          <w:rFonts w:hint="eastAsia" w:ascii="宋体" w:hAnsi="宋体" w:eastAsia="宋体" w:cs="宋体"/>
          <w:color w:val="auto"/>
          <w:sz w:val="21"/>
          <w:szCs w:val="21"/>
        </w:rPr>
        <w:t>项目（招标编号：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）的投标邀请，本投标人代表</w:t>
      </w:r>
      <w:r>
        <w:rPr>
          <w:rFonts w:hint="eastAsia" w:ascii="宋体" w:hAnsi="宋体" w:eastAsia="宋体" w:cs="宋体"/>
          <w:color w:val="auto"/>
          <w:sz w:val="21"/>
          <w:szCs w:val="21"/>
          <w:u w:val="single"/>
        </w:rPr>
        <w:t>（填写“全名”）</w:t>
      </w:r>
      <w:r>
        <w:rPr>
          <w:rFonts w:hint="eastAsia" w:ascii="宋体" w:hAnsi="宋体" w:eastAsia="宋体" w:cs="宋体"/>
          <w:color w:val="auto"/>
          <w:sz w:val="21"/>
          <w:szCs w:val="21"/>
        </w:rPr>
        <w:t>已获得我方正式授权并代表投标人</w:t>
      </w:r>
      <w:r>
        <w:rPr>
          <w:rFonts w:hint="eastAsia" w:ascii="宋体" w:hAnsi="宋体" w:eastAsia="宋体" w:cs="宋体"/>
          <w:color w:val="auto"/>
          <w:sz w:val="21"/>
          <w:szCs w:val="21"/>
          <w:u w:val="single"/>
        </w:rPr>
        <w:t>（填写“全称”）</w:t>
      </w:r>
      <w:r>
        <w:rPr>
          <w:rFonts w:hint="eastAsia" w:ascii="宋体" w:hAnsi="宋体" w:eastAsia="宋体" w:cs="宋体"/>
          <w:color w:val="auto"/>
          <w:sz w:val="21"/>
          <w:szCs w:val="21"/>
        </w:rPr>
        <w:t>参加投标，并提交招标文件规定份数的投标文件正本和副本。我方提交的全部投标文件均由下述部分组成：</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（1）资格及资信证明部分</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①投标函</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②投标人的资格及资信证明文件</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③投标保证金</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（2）报价部分</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①开标一览表</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②投标分项报价表</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③招标文件规定的价格扣除证明材料（若有）</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④招标文件规定的加分证明材料（若有）</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（3）技术商务部分</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①标的说明一览表</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②技术和服务要求响应表</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③商务条件响应表</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④投标人提交的其他资料（若有）</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根据本函，本投标人代表宣布我方保证遵守招标文件的全部规定，同时：</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w:t>
      </w:r>
      <w:r>
        <w:rPr>
          <w:rStyle w:val="9"/>
          <w:rFonts w:hint="eastAsia" w:ascii="宋体" w:hAnsi="宋体" w:eastAsia="宋体" w:cs="宋体"/>
          <w:b/>
          <w:color w:val="auto"/>
          <w:sz w:val="21"/>
          <w:szCs w:val="21"/>
        </w:rPr>
        <w:t>确认：</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1.1所投合同包的投标报价详见“开标一览表”及“投标分项报价表”。</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1.2我方已详细审查全部招标文件</w:t>
      </w:r>
      <w:r>
        <w:rPr>
          <w:rFonts w:hint="default" w:ascii="Calibri" w:hAnsi="Calibri" w:eastAsia="宋体" w:cs="Calibri"/>
          <w:color w:val="auto"/>
          <w:sz w:val="21"/>
          <w:szCs w:val="21"/>
        </w:rPr>
        <w:t>[</w:t>
      </w:r>
      <w:r>
        <w:rPr>
          <w:rFonts w:hint="eastAsia" w:ascii="宋体" w:hAnsi="宋体" w:eastAsia="宋体" w:cs="宋体"/>
          <w:color w:val="auto"/>
          <w:sz w:val="21"/>
          <w:szCs w:val="21"/>
        </w:rPr>
        <w:t>包括但不限于：有关附件（若有）、澄清或修改（若有）等</w:t>
      </w:r>
      <w:r>
        <w:rPr>
          <w:rFonts w:hint="default" w:ascii="Calibri" w:hAnsi="Calibri" w:eastAsia="宋体" w:cs="Calibri"/>
          <w:color w:val="auto"/>
          <w:sz w:val="21"/>
          <w:szCs w:val="21"/>
        </w:rPr>
        <w:t>]</w:t>
      </w:r>
      <w:r>
        <w:rPr>
          <w:rFonts w:hint="eastAsia" w:ascii="宋体" w:hAnsi="宋体" w:eastAsia="宋体" w:cs="宋体"/>
          <w:color w:val="auto"/>
          <w:sz w:val="21"/>
          <w:szCs w:val="21"/>
        </w:rPr>
        <w:t>，并自行承担因对全部招标文件理解不正确或误解而产生的相应后果和责任。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w:t>
      </w:r>
      <w:r>
        <w:rPr>
          <w:rStyle w:val="9"/>
          <w:rFonts w:hint="eastAsia" w:ascii="宋体" w:hAnsi="宋体" w:eastAsia="宋体" w:cs="宋体"/>
          <w:b/>
          <w:color w:val="auto"/>
          <w:sz w:val="21"/>
          <w:szCs w:val="21"/>
        </w:rPr>
        <w:t>承诺及声明：</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2.1我方具备招标文件第一章载明的“投标人的资格要求”且符合招标文件第三章载明的“二、投标人”之规定，否则</w:t>
      </w:r>
      <w:r>
        <w:rPr>
          <w:rStyle w:val="9"/>
          <w:rFonts w:hint="eastAsia" w:ascii="宋体" w:hAnsi="宋体" w:eastAsia="宋体" w:cs="宋体"/>
          <w:b/>
          <w:color w:val="auto"/>
          <w:sz w:val="21"/>
          <w:szCs w:val="21"/>
        </w:rPr>
        <w:t>投标无效。</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2.2我方提交的投标文件各组成部分的全部内容及资料是不可割离且真实、有效、准确、完整和不具有任何误导性的，否则产生不利后果由我方承担责任。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2.3我方提供的标的价格不高于同期市场价格，否则产生不利后果由我方承担责任。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2.4投标保证金：若出现招标文件第三章规定的不予退还情形，同意贵单位不予退还。</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2.5投标有效期：按照招标文件第三章规定执行，并在招标文件第二章载明的期限内保持有效。</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2.6若中标，将按照招标文件、我方投标文件及政府采购合同履行责任和义务。</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2.7若贵单位要求，我方同意提供与本项目投标有关的一切资料、数据或文件，并完全理解贵单位不一定要接受最低的投标报价或收到的任何投标。</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2.8除招标文件另有规定外，对于贵单位按照下述联络方式发出的任何信息或通知，均视为我方已收悉前述信息或通知的全部内容：</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通信地址：</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邮编：</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联系方法：</w:t>
      </w:r>
      <w:r>
        <w:rPr>
          <w:rFonts w:hint="eastAsia" w:ascii="宋体" w:hAnsi="宋体" w:eastAsia="宋体" w:cs="宋体"/>
          <w:color w:val="auto"/>
          <w:sz w:val="21"/>
          <w:szCs w:val="21"/>
          <w:u w:val="single"/>
        </w:rPr>
        <w:t>（包括但不限于：联系人、联系电话、手机、传真、电子邮箱等）</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1"/>
          <w:szCs w:val="21"/>
        </w:rPr>
        <w:t>二、投标人的资格及资信证明文件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二-1单位负责人授权书（若有）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我方的单位负责人</w:t>
      </w:r>
      <w:r>
        <w:rPr>
          <w:rFonts w:hint="eastAsia" w:ascii="宋体" w:hAnsi="宋体" w:eastAsia="宋体" w:cs="宋体"/>
          <w:color w:val="auto"/>
          <w:sz w:val="21"/>
          <w:szCs w:val="21"/>
          <w:u w:val="single"/>
        </w:rPr>
        <w:t>（填写“单位负责人全名”）</w:t>
      </w:r>
      <w:r>
        <w:rPr>
          <w:rFonts w:hint="eastAsia" w:ascii="宋体" w:hAnsi="宋体" w:eastAsia="宋体" w:cs="宋体"/>
          <w:color w:val="auto"/>
          <w:sz w:val="21"/>
          <w:szCs w:val="21"/>
        </w:rPr>
        <w:t>授权</w:t>
      </w:r>
      <w:r>
        <w:rPr>
          <w:rFonts w:hint="eastAsia" w:ascii="宋体" w:hAnsi="宋体" w:eastAsia="宋体" w:cs="宋体"/>
          <w:color w:val="auto"/>
          <w:sz w:val="21"/>
          <w:szCs w:val="21"/>
          <w:u w:val="single"/>
        </w:rPr>
        <w:t>（填写“投标人代表全名”）</w:t>
      </w:r>
      <w:r>
        <w:rPr>
          <w:rFonts w:hint="eastAsia" w:ascii="宋体" w:hAnsi="宋体" w:eastAsia="宋体" w:cs="宋体"/>
          <w:color w:val="auto"/>
          <w:sz w:val="21"/>
          <w:szCs w:val="21"/>
        </w:rPr>
        <w:t>为投标人代表，代表我方参加</w:t>
      </w:r>
      <w:r>
        <w:rPr>
          <w:rFonts w:hint="eastAsia" w:ascii="宋体" w:hAnsi="宋体" w:eastAsia="宋体" w:cs="宋体"/>
          <w:color w:val="auto"/>
          <w:sz w:val="21"/>
          <w:szCs w:val="21"/>
          <w:u w:val="single"/>
        </w:rPr>
        <w:t>（填写“项目名称”）</w:t>
      </w:r>
      <w:r>
        <w:rPr>
          <w:rFonts w:hint="eastAsia" w:ascii="宋体" w:hAnsi="宋体" w:eastAsia="宋体" w:cs="宋体"/>
          <w:color w:val="auto"/>
          <w:sz w:val="21"/>
          <w:szCs w:val="21"/>
        </w:rPr>
        <w:t>项目（招标编号：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投标人代表无转委权。特此授权。</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（以下无正文）</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单位负责人：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身份证号：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手机：</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身份证号：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手机：</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授权方</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单位负责人签字或盖章：</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接受授权方</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right"/>
        <w:rPr>
          <w:color w:val="auto"/>
        </w:rPr>
      </w:pPr>
      <w:r>
        <w:rPr>
          <w:rFonts w:hint="eastAsia" w:ascii="宋体" w:hAnsi="宋体" w:eastAsia="宋体" w:cs="宋体"/>
          <w:color w:val="auto"/>
          <w:sz w:val="21"/>
          <w:szCs w:val="21"/>
        </w:rPr>
        <w:t>签署日期：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附：单位负责人、投标人代表的身份证正反面复印件</w:t>
      </w:r>
    </w:p>
    <w:tbl>
      <w:tblPr>
        <w:tblStyle w:val="7"/>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PrEx>
        <w:tc>
          <w:tcPr>
            <w:tcW w:w="852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要求：真实有效且内容完整、清晰、整洁。</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 </w:t>
            </w:r>
          </w:p>
        </w:tc>
      </w:tr>
    </w:tbl>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1、企业（银行、保险、石油石化、电力、电信等行业除外）、事业单位和社会团体法人的“单位负责人”指</w:t>
      </w:r>
      <w:r>
        <w:rPr>
          <w:rStyle w:val="9"/>
          <w:rFonts w:hint="eastAsia" w:ascii="宋体" w:hAnsi="宋体" w:eastAsia="宋体" w:cs="宋体"/>
          <w:b/>
          <w:color w:val="auto"/>
          <w:sz w:val="21"/>
          <w:szCs w:val="21"/>
        </w:rPr>
        <w:t>法定代表人</w:t>
      </w:r>
      <w:r>
        <w:rPr>
          <w:rFonts w:hint="eastAsia" w:ascii="宋体" w:hAnsi="宋体" w:eastAsia="宋体" w:cs="宋体"/>
          <w:color w:val="auto"/>
          <w:sz w:val="21"/>
          <w:szCs w:val="21"/>
        </w:rPr>
        <w:t>，即与实际提交的“营业执照等证明文件”载明的一致。</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3、投标人（自然人除外）：若投标人代表为单位负责人授权的委托代理人，应提供本授权书；若投标人代表为单位负责人，应在此项下提交其身份证正反面复印件，可不提供本授权书。</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4、投标人为自然人的，可不填写本授权书。</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5、纸质投标文件正本中的本授权书（若有）应为原件。</w:t>
      </w:r>
    </w:p>
    <w:p>
      <w:pPr>
        <w:pStyle w:val="6"/>
        <w:keepNext w:val="0"/>
        <w:keepLines w:val="0"/>
        <w:widowControl/>
        <w:suppressLineNumbers w:val="0"/>
        <w:spacing w:before="0" w:beforeAutospacing="0" w:after="150" w:afterAutospacing="0"/>
        <w:ind w:left="0" w:right="0"/>
        <w:rPr>
          <w:color w:val="auto"/>
        </w:rPr>
      </w:pP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1"/>
          <w:szCs w:val="21"/>
        </w:rPr>
        <w:t>二-2营业执照等证明文件</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）投标人为法人（包括企业、事业单位和社会团体）的</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现附上由</w:t>
      </w:r>
      <w:r>
        <w:rPr>
          <w:rFonts w:hint="eastAsia" w:ascii="宋体" w:hAnsi="宋体" w:eastAsia="宋体" w:cs="宋体"/>
          <w:color w:val="auto"/>
          <w:sz w:val="21"/>
          <w:szCs w:val="21"/>
          <w:u w:val="single"/>
        </w:rPr>
        <w:t>（填写“签发机关全称”）</w:t>
      </w:r>
      <w:r>
        <w:rPr>
          <w:rFonts w:hint="eastAsia" w:ascii="宋体" w:hAnsi="宋体" w:eastAsia="宋体" w:cs="宋体"/>
          <w:color w:val="auto"/>
          <w:sz w:val="21"/>
          <w:szCs w:val="21"/>
        </w:rPr>
        <w:t>签发的我方统一社会信用代码</w:t>
      </w:r>
      <w:r>
        <w:rPr>
          <w:rFonts w:hint="eastAsia" w:ascii="宋体" w:hAnsi="宋体" w:eastAsia="宋体" w:cs="宋体"/>
          <w:color w:val="auto"/>
          <w:sz w:val="21"/>
          <w:szCs w:val="21"/>
          <w:u w:val="single"/>
        </w:rPr>
        <w:t>（请填写法人的具体证照名称）</w:t>
      </w:r>
      <w:r>
        <w:rPr>
          <w:rFonts w:hint="eastAsia" w:ascii="宋体" w:hAnsi="宋体" w:eastAsia="宋体" w:cs="宋体"/>
          <w:color w:val="auto"/>
          <w:sz w:val="21"/>
          <w:szCs w:val="21"/>
        </w:rPr>
        <w:t>复印件，该证明材料真实有效，否则我方负全部责任。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）投标人为非法人（包括其他组织、自然人）的</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□现附上由</w:t>
      </w:r>
      <w:r>
        <w:rPr>
          <w:rFonts w:hint="eastAsia" w:ascii="宋体" w:hAnsi="宋体" w:eastAsia="宋体" w:cs="宋体"/>
          <w:color w:val="auto"/>
          <w:sz w:val="21"/>
          <w:szCs w:val="21"/>
          <w:u w:val="single"/>
        </w:rPr>
        <w:t>（填写“签发机关全称”）</w:t>
      </w:r>
      <w:r>
        <w:rPr>
          <w:rFonts w:hint="eastAsia" w:ascii="宋体" w:hAnsi="宋体" w:eastAsia="宋体" w:cs="宋体"/>
          <w:color w:val="auto"/>
          <w:sz w:val="21"/>
          <w:szCs w:val="21"/>
        </w:rPr>
        <w:t>签发的我方</w:t>
      </w:r>
      <w:r>
        <w:rPr>
          <w:rFonts w:hint="eastAsia" w:ascii="宋体" w:hAnsi="宋体" w:eastAsia="宋体" w:cs="宋体"/>
          <w:color w:val="auto"/>
          <w:sz w:val="21"/>
          <w:szCs w:val="21"/>
          <w:u w:val="single"/>
        </w:rPr>
        <w:t>（请填写非自然人的非法人的具体证照名称）</w:t>
      </w:r>
      <w:r>
        <w:rPr>
          <w:rFonts w:hint="eastAsia" w:ascii="宋体" w:hAnsi="宋体" w:eastAsia="宋体" w:cs="宋体"/>
          <w:color w:val="auto"/>
          <w:sz w:val="21"/>
          <w:szCs w:val="21"/>
        </w:rPr>
        <w:t>复印件，该证明材料真实有效，否则我方负全部责任。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□现附上由</w:t>
      </w:r>
      <w:r>
        <w:rPr>
          <w:rFonts w:hint="eastAsia" w:ascii="宋体" w:hAnsi="宋体" w:eastAsia="宋体" w:cs="宋体"/>
          <w:color w:val="auto"/>
          <w:sz w:val="21"/>
          <w:szCs w:val="21"/>
          <w:u w:val="single"/>
        </w:rPr>
        <w:t>（填写“签发机关全称”）</w:t>
      </w:r>
      <w:r>
        <w:rPr>
          <w:rFonts w:hint="eastAsia" w:ascii="宋体" w:hAnsi="宋体" w:eastAsia="宋体" w:cs="宋体"/>
          <w:color w:val="auto"/>
          <w:sz w:val="21"/>
          <w:szCs w:val="21"/>
        </w:rPr>
        <w:t>签发的我方</w:t>
      </w:r>
      <w:r>
        <w:rPr>
          <w:rFonts w:hint="eastAsia" w:ascii="宋体" w:hAnsi="宋体" w:eastAsia="宋体" w:cs="宋体"/>
          <w:color w:val="auto"/>
          <w:sz w:val="21"/>
          <w:szCs w:val="21"/>
          <w:u w:val="single"/>
        </w:rPr>
        <w:t>（请填写自然人的身份证件名称）</w:t>
      </w:r>
      <w:r>
        <w:rPr>
          <w:rFonts w:hint="eastAsia" w:ascii="宋体" w:hAnsi="宋体" w:eastAsia="宋体" w:cs="宋体"/>
          <w:color w:val="auto"/>
          <w:sz w:val="21"/>
          <w:szCs w:val="21"/>
        </w:rPr>
        <w:t>复印件，该证明材料真实有效，否则我方负全部责任。</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1、请投标人按照实际情况编制填写，在相应的（）中打“√”并选择相应的“□”（若有）后，再按照本格式的要求提供相应证明材料的复印件。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3、投标人提供的相应证明材料复印件均应符合：内容完整、清晰、整洁，并由投标人加盖其单位公章。</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1"/>
          <w:szCs w:val="21"/>
        </w:rPr>
        <w:t>二-3财务状况报告（财务报告、或资信证明、或投标担保函）</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）投标人提供财务报告的</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□企业适用：现附上我方</w:t>
      </w:r>
      <w:r>
        <w:rPr>
          <w:rFonts w:hint="eastAsia" w:ascii="宋体" w:hAnsi="宋体" w:eastAsia="宋体" w:cs="宋体"/>
          <w:color w:val="auto"/>
          <w:sz w:val="21"/>
          <w:szCs w:val="21"/>
          <w:u w:val="single"/>
        </w:rPr>
        <w:t>（填写“具体的年度、或半年度、或季度”）</w:t>
      </w:r>
      <w:r>
        <w:rPr>
          <w:rFonts w:hint="eastAsia" w:ascii="宋体" w:hAnsi="宋体" w:eastAsia="宋体" w:cs="宋体"/>
          <w:color w:val="auto"/>
          <w:sz w:val="21"/>
          <w:szCs w:val="21"/>
        </w:rPr>
        <w:t>财务报告复印件，包括资产负债表、利润表、现金流量表、所有者权益变动表（若有）及其附注（若有），上述证明材料真实有效，否则我方负全部责任。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□事业单位适用：现附上我方</w:t>
      </w:r>
      <w:r>
        <w:rPr>
          <w:rFonts w:hint="eastAsia" w:ascii="宋体" w:hAnsi="宋体" w:eastAsia="宋体" w:cs="宋体"/>
          <w:color w:val="auto"/>
          <w:sz w:val="21"/>
          <w:szCs w:val="21"/>
          <w:u w:val="single"/>
        </w:rPr>
        <w:t>（填写“具体的年度、或半年度、或季度”）</w:t>
      </w:r>
      <w:r>
        <w:rPr>
          <w:rFonts w:hint="eastAsia" w:ascii="宋体" w:hAnsi="宋体" w:eastAsia="宋体" w:cs="宋体"/>
          <w:color w:val="auto"/>
          <w:sz w:val="21"/>
          <w:szCs w:val="21"/>
        </w:rPr>
        <w:t>财务报告复印件，包括资产负债表、收入支出表（或收入费用表）、财政补助收入支出表（若有），上述证明材料真实有效，否则我方负全部责任。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□社会团体适用：现附上我方</w:t>
      </w:r>
      <w:r>
        <w:rPr>
          <w:rFonts w:hint="eastAsia" w:ascii="宋体" w:hAnsi="宋体" w:eastAsia="宋体" w:cs="宋体"/>
          <w:color w:val="auto"/>
          <w:sz w:val="21"/>
          <w:szCs w:val="21"/>
          <w:u w:val="single"/>
        </w:rPr>
        <w:t>（填写“具体的年度、或半年度、或季度”）</w:t>
      </w:r>
      <w:r>
        <w:rPr>
          <w:rFonts w:hint="eastAsia" w:ascii="宋体" w:hAnsi="宋体" w:eastAsia="宋体" w:cs="宋体"/>
          <w:color w:val="auto"/>
          <w:sz w:val="21"/>
          <w:szCs w:val="21"/>
        </w:rPr>
        <w:t>财务报告复印件，包括资产负债表、业务活动表、现金流量表，上述证明材料真实有效，否则我方负全部责任。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）投标人提供资信证明的</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□自然人适用：现附上我方银行：</w:t>
      </w:r>
      <w:r>
        <w:rPr>
          <w:rFonts w:hint="eastAsia" w:ascii="宋体" w:hAnsi="宋体" w:eastAsia="宋体" w:cs="宋体"/>
          <w:color w:val="auto"/>
          <w:sz w:val="21"/>
          <w:szCs w:val="21"/>
          <w:u w:val="single"/>
        </w:rPr>
        <w:t>（填写自然人的“个人账户的开户银行全称”）</w:t>
      </w:r>
      <w:r>
        <w:rPr>
          <w:rFonts w:hint="eastAsia" w:ascii="宋体" w:hAnsi="宋体" w:eastAsia="宋体" w:cs="宋体"/>
          <w:color w:val="auto"/>
          <w:sz w:val="21"/>
          <w:szCs w:val="21"/>
        </w:rPr>
        <w:t>出具的资信证明复印件，上述证明材料真实有效，否则我方负全部责任。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）投标人提供投标担保函的</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现附上由财政部门认可的政府采购专业担保机构：</w:t>
      </w:r>
      <w:r>
        <w:rPr>
          <w:rFonts w:hint="eastAsia" w:ascii="宋体" w:hAnsi="宋体" w:eastAsia="宋体" w:cs="宋体"/>
          <w:color w:val="auto"/>
          <w:sz w:val="21"/>
          <w:szCs w:val="21"/>
          <w:u w:val="single"/>
        </w:rPr>
        <w:t>（填写“担保机构全称”）</w:t>
      </w:r>
      <w:r>
        <w:rPr>
          <w:rFonts w:hint="eastAsia" w:ascii="宋体" w:hAnsi="宋体" w:eastAsia="宋体" w:cs="宋体"/>
          <w:color w:val="auto"/>
          <w:sz w:val="21"/>
          <w:szCs w:val="21"/>
        </w:rPr>
        <w:t>出具的投标担保函复印件，上述证明材料真实有效，否则我方负全部责任。</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1、请投标人按照实际情况编制填写，在相应的（）中打“√”并选择相应的“□”（若有）后，再按照本格式的要求提供相应证明材料的复印件。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2、投标人提供的财务报告复印件（成立年限按照投标截止时间推算）应符合下列规定：</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2.1成立年限满</w:t>
      </w:r>
      <w:r>
        <w:rPr>
          <w:rFonts w:hint="default" w:ascii="Calibri" w:hAnsi="Calibri" w:eastAsia="宋体" w:cs="Calibri"/>
          <w:color w:val="auto"/>
          <w:sz w:val="21"/>
          <w:szCs w:val="21"/>
        </w:rPr>
        <w:t>1</w:t>
      </w:r>
      <w:r>
        <w:rPr>
          <w:rFonts w:hint="eastAsia" w:ascii="宋体" w:hAnsi="宋体" w:eastAsia="宋体" w:cs="宋体"/>
          <w:color w:val="auto"/>
          <w:sz w:val="21"/>
          <w:szCs w:val="21"/>
        </w:rPr>
        <w:t>年及以上的投标人，提供经审计的上一年度的年度财务报告。</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2.2成立年限满半年但不足</w:t>
      </w:r>
      <w:r>
        <w:rPr>
          <w:rFonts w:hint="default" w:ascii="Calibri" w:hAnsi="Calibri" w:eastAsia="宋体" w:cs="Calibri"/>
          <w:color w:val="auto"/>
          <w:sz w:val="21"/>
          <w:szCs w:val="21"/>
        </w:rPr>
        <w:t>1</w:t>
      </w:r>
      <w:r>
        <w:rPr>
          <w:rFonts w:hint="eastAsia" w:ascii="宋体" w:hAnsi="宋体" w:eastAsia="宋体" w:cs="宋体"/>
          <w:color w:val="auto"/>
          <w:sz w:val="21"/>
          <w:szCs w:val="21"/>
        </w:rPr>
        <w:t>年的投标人，提供该半年度中任一季度的季度财务报告或该半年度的半年度财务报告。</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3、“财政部门认可的政府采购专业担保机构”应符合《财政部关于开展政府采购信用担保试点工作方案》（财库</w:t>
      </w:r>
      <w:r>
        <w:rPr>
          <w:rFonts w:hint="default" w:ascii="Calibri" w:hAnsi="Calibri" w:eastAsia="宋体" w:cs="Calibri"/>
          <w:color w:val="auto"/>
          <w:sz w:val="21"/>
          <w:szCs w:val="21"/>
        </w:rPr>
        <w:t>[2012]124</w:t>
      </w:r>
      <w:r>
        <w:rPr>
          <w:rFonts w:hint="eastAsia" w:ascii="宋体" w:hAnsi="宋体" w:eastAsia="宋体" w:cs="宋体"/>
          <w:color w:val="auto"/>
          <w:sz w:val="21"/>
          <w:szCs w:val="21"/>
        </w:rPr>
        <w:t>号）的规定。</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4、投标人提供的相应证明材料复印件均应符合：内容完整、清晰、整洁，并由投标人加盖其单位公章。</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二</w:t>
      </w:r>
      <w:r>
        <w:rPr>
          <w:rStyle w:val="9"/>
          <w:rFonts w:hint="eastAsia" w:ascii="宋体" w:hAnsi="宋体" w:eastAsia="宋体" w:cs="宋体"/>
          <w:b/>
          <w:color w:val="auto"/>
          <w:sz w:val="21"/>
          <w:szCs w:val="21"/>
        </w:rPr>
        <w:t>-4依法缴纳税收证明材料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1、依法缴纳税收的投标人</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）法人（包括企业、事业单位和社会团体）的</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现附上自</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日期间我方缴纳的</w:t>
      </w:r>
      <w:r>
        <w:rPr>
          <w:rFonts w:hint="eastAsia" w:ascii="宋体" w:hAnsi="宋体" w:eastAsia="宋体" w:cs="宋体"/>
          <w:color w:val="auto"/>
          <w:sz w:val="21"/>
          <w:szCs w:val="21"/>
          <w:u w:val="single"/>
        </w:rPr>
        <w:t>（按照投标人实际缴纳的税种名称填写，如：增值税、所得税等）</w:t>
      </w:r>
      <w:r>
        <w:rPr>
          <w:rFonts w:hint="eastAsia" w:ascii="宋体" w:hAnsi="宋体" w:eastAsia="宋体" w:cs="宋体"/>
          <w:color w:val="auto"/>
          <w:sz w:val="21"/>
          <w:szCs w:val="21"/>
        </w:rPr>
        <w:t>税收凭据复印件，上述证明材料真实有效，否则我方负全部责任。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）非法人（包括其他组织、自然人）的</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现附上自</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日期间我方缴纳的</w:t>
      </w:r>
      <w:r>
        <w:rPr>
          <w:rFonts w:hint="eastAsia" w:ascii="宋体" w:hAnsi="宋体" w:eastAsia="宋体" w:cs="宋体"/>
          <w:color w:val="auto"/>
          <w:sz w:val="21"/>
          <w:szCs w:val="21"/>
          <w:u w:val="single"/>
        </w:rPr>
        <w:t>（按照投标人实际缴纳的税种名称填写）</w:t>
      </w:r>
      <w:r>
        <w:rPr>
          <w:rFonts w:hint="eastAsia" w:ascii="宋体" w:hAnsi="宋体" w:eastAsia="宋体" w:cs="宋体"/>
          <w:color w:val="auto"/>
          <w:sz w:val="21"/>
          <w:szCs w:val="21"/>
        </w:rPr>
        <w:t>税收凭据复印件，上述证明材料真实有效，否则我方负全部责任。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2、依法免税的投标人</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）现附上我方依法免税证明材料复印件，上述证明材料真实有效，否则我方负全部责任。</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1、请投标人按照实际情况编制填写，在相应的（）中打“√”，并按照本格式的要求提供相应证明材料的复印件。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2、投标人提供的税收凭据复印件应符合下列规定：</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2.1投标截止时间前（不含投标截止时间的当月）已依法缴纳税收的投标人，提供投标截止时间前六个月（不含投标截止时间的当月）中任一月份的税收凭据复印件。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2.2投标截止时间的当月成立且已依法缴纳税收的投标人，提供投标截止时间当月的税收凭据复印件。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2.3投标截止时间的当月成立但因税务机关原因导致其尚未依法缴纳税收的投标人，提供依法缴纳税收承诺书原件（格式自拟），该承诺书视同税收凭据。</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w:t>
      </w:r>
      <w:r>
        <w:rPr>
          <w:rStyle w:val="9"/>
          <w:rFonts w:hint="eastAsia" w:ascii="宋体" w:hAnsi="宋体" w:eastAsia="宋体" w:cs="宋体"/>
          <w:b/>
          <w:color w:val="auto"/>
          <w:sz w:val="21"/>
          <w:szCs w:val="21"/>
        </w:rPr>
        <w:t>“依法缴纳税收证明材料”</w:t>
      </w:r>
      <w:r>
        <w:rPr>
          <w:rFonts w:hint="eastAsia" w:ascii="宋体" w:hAnsi="宋体" w:eastAsia="宋体" w:cs="宋体"/>
          <w:color w:val="auto"/>
          <w:sz w:val="21"/>
          <w:szCs w:val="21"/>
        </w:rPr>
        <w:t>有欠缴记录的，视为</w:t>
      </w:r>
      <w:r>
        <w:rPr>
          <w:rStyle w:val="9"/>
          <w:rFonts w:hint="eastAsia" w:ascii="宋体" w:hAnsi="宋体" w:eastAsia="宋体" w:cs="宋体"/>
          <w:b/>
          <w:color w:val="auto"/>
          <w:sz w:val="21"/>
          <w:szCs w:val="21"/>
        </w:rPr>
        <w:t>未依法缴纳税收。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4、投标人提供的相应证明材料复印件均应符合：内容完整、清晰、整洁，并由投标人加盖其单位公章。</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1"/>
          <w:szCs w:val="21"/>
        </w:rPr>
        <w:t>二-5依法缴纳社会保障资金证明材料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1、依法缴纳社会保障资金的投标人</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）法人（包括企业、事业单位和社会团体）的</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现附上自</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）非法人（包括其他组织、自然人）的</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自</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2、依法不需要缴纳社会保障资金的投标人</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）现附上我方依法不需要缴纳社会保障资金证明材料复印件，上述证明材料真实有效，否则我方负全部责任。</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1、请投标人按照实际情况编制填写，在相应的（）中打“√”，并按照本格式的要求提供相应证明材料的复印件。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2、投标人提供的社会保险凭据复印件应符合下列规定：</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2.1投标截止时间前（不含投标截止时间的当月）已依法缴纳社会保障资金的投标人，提供投标截止时间前六个月（不含投标截止时间的当月）中任一月份的社会保险凭据复印件。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2.2投标截止时间的当月成立且已依法缴纳社会保障资金的投标人，提供投标截止时间当月的社会保险凭据复印件。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2.3投标截止时间的当月成立但因税务机关</w:t>
      </w:r>
      <w:r>
        <w:rPr>
          <w:rFonts w:hint="default" w:ascii="Calibri" w:hAnsi="Calibri" w:eastAsia="宋体" w:cs="Calibri"/>
          <w:color w:val="auto"/>
          <w:sz w:val="21"/>
          <w:szCs w:val="21"/>
        </w:rPr>
        <w:t>/</w:t>
      </w:r>
      <w:r>
        <w:rPr>
          <w:rFonts w:hint="eastAsia" w:ascii="宋体" w:hAnsi="宋体" w:eastAsia="宋体" w:cs="宋体"/>
          <w:color w:val="auto"/>
          <w:sz w:val="21"/>
          <w:szCs w:val="21"/>
        </w:rPr>
        <w:t>社会保障资金管理机关原因导致其尚未依法缴纳社会保障资金的投标人，提供依法缴纳社会保障资金承诺书原件（格式自拟），该承诺书视同社会保险凭据。</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w:t>
      </w:r>
      <w:r>
        <w:rPr>
          <w:rStyle w:val="9"/>
          <w:rFonts w:hint="eastAsia" w:ascii="宋体" w:hAnsi="宋体" w:eastAsia="宋体" w:cs="宋体"/>
          <w:b/>
          <w:color w:val="auto"/>
          <w:sz w:val="21"/>
          <w:szCs w:val="21"/>
        </w:rPr>
        <w:t>“依法缴纳社会保障资金证明材料”</w:t>
      </w:r>
      <w:r>
        <w:rPr>
          <w:rFonts w:hint="eastAsia" w:ascii="宋体" w:hAnsi="宋体" w:eastAsia="宋体" w:cs="宋体"/>
          <w:color w:val="auto"/>
          <w:sz w:val="21"/>
          <w:szCs w:val="21"/>
        </w:rPr>
        <w:t>有欠缴记录的，视为</w:t>
      </w:r>
      <w:r>
        <w:rPr>
          <w:rStyle w:val="9"/>
          <w:rFonts w:hint="eastAsia" w:ascii="宋体" w:hAnsi="宋体" w:eastAsia="宋体" w:cs="宋体"/>
          <w:b/>
          <w:color w:val="auto"/>
          <w:sz w:val="21"/>
          <w:szCs w:val="21"/>
        </w:rPr>
        <w:t>未依法缴纳社会保障资金。</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4、投标人提供的相应证明材料复印件均应符合：内容完整、清晰、整洁，并由投标人加盖其单位公章。</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二</w:t>
      </w:r>
      <w:r>
        <w:rPr>
          <w:rStyle w:val="9"/>
          <w:rFonts w:hint="eastAsia" w:ascii="宋体" w:hAnsi="宋体" w:eastAsia="宋体" w:cs="宋体"/>
          <w:b/>
          <w:color w:val="auto"/>
          <w:sz w:val="21"/>
          <w:szCs w:val="21"/>
        </w:rPr>
        <w:t>-6具备履行合同所必需设备和专业技术能力的声明函（若有）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我方具备履行合同所必需的设备和专业技术能力，否则产生不利后果由我方承担责任。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特此声明。</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1、招标文件未要求投标人提供“具备履行合同所必需的设备和专业技术能力专项证明材料”的，投标人应提供本声明函。</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2、招标文件要求投标人提供“具备履行合同所必需的设备和专业技术能力专项证明材料”的，投标人可不提供本声明函。</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3、纸质投标文件正本中的本声明函（若有）应为原件。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4、请投标人根据实际情况如实声明，否则</w:t>
      </w:r>
      <w:r>
        <w:rPr>
          <w:rStyle w:val="9"/>
          <w:rFonts w:hint="eastAsia" w:ascii="宋体" w:hAnsi="宋体" w:eastAsia="宋体" w:cs="宋体"/>
          <w:b/>
          <w:color w:val="auto"/>
          <w:sz w:val="21"/>
          <w:szCs w:val="21"/>
        </w:rPr>
        <w:t>视为提供虚假材料。</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二</w:t>
      </w:r>
      <w:r>
        <w:rPr>
          <w:rStyle w:val="9"/>
          <w:rFonts w:hint="eastAsia" w:ascii="宋体" w:hAnsi="宋体" w:eastAsia="宋体" w:cs="宋体"/>
          <w:b/>
          <w:color w:val="auto"/>
          <w:sz w:val="21"/>
          <w:szCs w:val="21"/>
        </w:rPr>
        <w:t>-7参加采购活动前三年内在经营活动中没有重大违法记录书面声明</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参加采购活动前三年内，我方在经营活动中没有重大违法记录，也无行贿犯罪记录，否则产生不利后果由我方承担责任。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特此声明。</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1、“重大违法记录”指投标人因违法经营受到刑事处罚或责令停产停业、吊销许可证或执照、较大数额罚款等行政处罚。</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2、纸质投标文件正本中的本声明应为原件。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3、请投标人根据实际情况如实声明，否则</w:t>
      </w:r>
      <w:r>
        <w:rPr>
          <w:rStyle w:val="9"/>
          <w:rFonts w:hint="eastAsia" w:ascii="宋体" w:hAnsi="宋体" w:eastAsia="宋体" w:cs="宋体"/>
          <w:b/>
          <w:color w:val="auto"/>
          <w:sz w:val="21"/>
          <w:szCs w:val="21"/>
        </w:rPr>
        <w:t>视为提供虚假材料。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二</w:t>
      </w:r>
      <w:r>
        <w:rPr>
          <w:rStyle w:val="9"/>
          <w:rFonts w:hint="eastAsia" w:ascii="宋体" w:hAnsi="宋体" w:eastAsia="宋体" w:cs="宋体"/>
          <w:b/>
          <w:color w:val="auto"/>
          <w:sz w:val="21"/>
          <w:szCs w:val="21"/>
        </w:rPr>
        <w:t>-8信用记录查询结果</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现附上截至</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时我方通过“信用中国”网站（</w:t>
      </w:r>
      <w:r>
        <w:rPr>
          <w:rFonts w:hint="default" w:ascii="Calibri" w:hAnsi="Calibri" w:eastAsia="宋体" w:cs="Calibri"/>
          <w:color w:val="auto"/>
          <w:sz w:val="21"/>
          <w:szCs w:val="21"/>
        </w:rPr>
        <w:t>www.creditchina.gov.cn</w:t>
      </w:r>
      <w:r>
        <w:rPr>
          <w:rFonts w:hint="eastAsia" w:ascii="宋体" w:hAnsi="宋体" w:eastAsia="宋体" w:cs="宋体"/>
          <w:color w:val="auto"/>
          <w:sz w:val="21"/>
          <w:szCs w:val="21"/>
        </w:rPr>
        <w:t>）获取的我方信用信息查询结果</w:t>
      </w:r>
      <w:r>
        <w:rPr>
          <w:rFonts w:hint="eastAsia" w:ascii="宋体" w:hAnsi="宋体" w:eastAsia="宋体" w:cs="宋体"/>
          <w:color w:val="auto"/>
          <w:sz w:val="21"/>
          <w:szCs w:val="21"/>
          <w:u w:val="single"/>
        </w:rPr>
        <w:t>（填写具体份数）</w:t>
      </w:r>
      <w:r>
        <w:rPr>
          <w:rFonts w:hint="eastAsia" w:ascii="宋体" w:hAnsi="宋体" w:eastAsia="宋体" w:cs="宋体"/>
          <w:color w:val="auto"/>
          <w:sz w:val="21"/>
          <w:szCs w:val="21"/>
        </w:rPr>
        <w:t>份、通过中国政府采购网（www.ccgp.gov.cn）获取的我方信用信息查询结果</w:t>
      </w:r>
      <w:r>
        <w:rPr>
          <w:rFonts w:hint="eastAsia" w:ascii="宋体" w:hAnsi="宋体" w:eastAsia="宋体" w:cs="宋体"/>
          <w:color w:val="auto"/>
          <w:sz w:val="21"/>
          <w:szCs w:val="21"/>
          <w:u w:val="single"/>
        </w:rPr>
        <w:t>（填写具体份数）</w:t>
      </w:r>
      <w:r>
        <w:rPr>
          <w:rFonts w:hint="eastAsia" w:ascii="宋体" w:hAnsi="宋体" w:eastAsia="宋体" w:cs="宋体"/>
          <w:color w:val="auto"/>
          <w:sz w:val="21"/>
          <w:szCs w:val="21"/>
        </w:rPr>
        <w:t>份，上述信用信息查询结果真实有效，否则我方负全部责任。</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投标人应在招标文件要求的截止时点前分别通过“信用中国”网站（</w:t>
      </w:r>
      <w:r>
        <w:rPr>
          <w:rFonts w:hint="default" w:ascii="Calibri" w:hAnsi="Calibri" w:eastAsia="宋体" w:cs="Calibri"/>
          <w:color w:val="auto"/>
          <w:sz w:val="21"/>
          <w:szCs w:val="21"/>
        </w:rPr>
        <w:t>www.creditchina.gov.cn</w:t>
      </w:r>
      <w:r>
        <w:rPr>
          <w:rFonts w:hint="eastAsia" w:ascii="宋体" w:hAnsi="宋体" w:eastAsia="宋体" w:cs="宋体"/>
          <w:color w:val="auto"/>
          <w:sz w:val="21"/>
          <w:szCs w:val="21"/>
        </w:rPr>
        <w:t>）、中国政府采购网（</w:t>
      </w:r>
      <w:r>
        <w:rPr>
          <w:rFonts w:hint="default" w:ascii="Calibri" w:hAnsi="Calibri" w:eastAsia="宋体" w:cs="Calibri"/>
          <w:color w:val="auto"/>
          <w:sz w:val="21"/>
          <w:szCs w:val="21"/>
        </w:rPr>
        <w:t>www.ccgp.gov.cn</w:t>
      </w:r>
      <w:r>
        <w:rPr>
          <w:rFonts w:hint="eastAsia" w:ascii="宋体" w:hAnsi="宋体" w:eastAsia="宋体" w:cs="宋体"/>
          <w:color w:val="auto"/>
          <w:sz w:val="21"/>
          <w:szCs w:val="21"/>
        </w:rPr>
        <w:t>）查询并打印相应的信用记录，投标人提供的查询结果应为其通过上述网站获取的信用信息查询结果原始页面的打印件（或截图）。</w:t>
      </w:r>
    </w:p>
    <w:p>
      <w:pPr>
        <w:pStyle w:val="6"/>
        <w:keepNext w:val="0"/>
        <w:keepLines w:val="0"/>
        <w:widowControl/>
        <w:suppressLineNumbers w:val="0"/>
        <w:spacing w:before="0" w:beforeAutospacing="0" w:after="150" w:afterAutospacing="0"/>
        <w:ind w:left="0" w:right="0"/>
        <w:rPr>
          <w:color w:val="auto"/>
        </w:rPr>
      </w:pP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default" w:ascii="Calibri" w:hAnsi="Calibri" w:cs="Calibri"/>
          <w:b/>
          <w:color w:val="auto"/>
          <w:sz w:val="21"/>
          <w:szCs w:val="21"/>
        </w:rPr>
        <w:br w:type="textWrapping"/>
      </w:r>
      <w:r>
        <w:rPr>
          <w:rStyle w:val="9"/>
          <w:rFonts w:hint="eastAsia" w:ascii="宋体" w:hAnsi="宋体" w:eastAsia="宋体" w:cs="宋体"/>
          <w:b/>
          <w:color w:val="auto"/>
          <w:sz w:val="21"/>
          <w:szCs w:val="21"/>
        </w:rPr>
        <w:t>二-9检察机关行贿犯罪档案查询结果告知函</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检察机关行贿犯罪档案查询结果告知函（以下简称：“告知函”）由投标人向住所地或业务发生地检察院申请查询，具体以检察院出具的为准。</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1、未提供行贿犯罪档案查询结果或查询结果表明投标人有行贿犯罪记录的，</w:t>
      </w:r>
      <w:r>
        <w:rPr>
          <w:rStyle w:val="9"/>
          <w:rFonts w:hint="eastAsia" w:ascii="宋体" w:hAnsi="宋体" w:eastAsia="宋体" w:cs="宋体"/>
          <w:b/>
          <w:color w:val="auto"/>
          <w:sz w:val="21"/>
          <w:szCs w:val="21"/>
        </w:rPr>
        <w:t>投标无效。</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2、若从检察机关指定网站下载打印或截图告知函，则告知函应为从前述指定网站获取的查询结果原始页面的打印件（或截图），否则</w:t>
      </w:r>
      <w:r>
        <w:rPr>
          <w:rStyle w:val="9"/>
          <w:rFonts w:hint="eastAsia" w:ascii="宋体" w:hAnsi="宋体" w:eastAsia="宋体" w:cs="宋体"/>
          <w:b/>
          <w:color w:val="auto"/>
          <w:sz w:val="21"/>
          <w:szCs w:val="21"/>
        </w:rPr>
        <w:t>投标无效。</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3、告知函应在有效期内且内容完整、清晰、整洁，否则</w:t>
      </w:r>
      <w:r>
        <w:rPr>
          <w:rStyle w:val="9"/>
          <w:rFonts w:hint="eastAsia" w:ascii="宋体" w:hAnsi="宋体" w:eastAsia="宋体" w:cs="宋体"/>
          <w:b/>
          <w:color w:val="auto"/>
          <w:sz w:val="21"/>
          <w:szCs w:val="21"/>
        </w:rPr>
        <w:t>投标无效。</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4、有效期内的告知函复印件（含扫描件）及符合招标文件第七章规定的打印件（或截图），无论内容中是否注明“复印件无效”，</w:t>
      </w:r>
      <w:r>
        <w:rPr>
          <w:rStyle w:val="9"/>
          <w:rFonts w:hint="eastAsia" w:ascii="宋体" w:hAnsi="宋体" w:eastAsia="宋体" w:cs="宋体"/>
          <w:b/>
          <w:color w:val="auto"/>
          <w:sz w:val="21"/>
          <w:szCs w:val="21"/>
        </w:rPr>
        <w:t>均视同有效。</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5、无法获取有效期内检察机关行贿犯罪档案查询结果告知函的，应在《参加采购活动前三年内在经营活动中没有重大违法记录书面声明》中对近三年无行贿犯罪记录进行声明。</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br w:type="textWrapping"/>
      </w:r>
      <w:r>
        <w:rPr>
          <w:rStyle w:val="9"/>
          <w:rFonts w:hint="eastAsia" w:ascii="宋体" w:hAnsi="宋体" w:eastAsia="宋体" w:cs="宋体"/>
          <w:b/>
          <w:color w:val="auto"/>
          <w:sz w:val="21"/>
          <w:szCs w:val="21"/>
        </w:rPr>
        <w:t>二-10联合体协议（若有）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兹有</w:t>
      </w:r>
      <w:r>
        <w:rPr>
          <w:rFonts w:hint="eastAsia" w:ascii="宋体" w:hAnsi="宋体" w:eastAsia="宋体" w:cs="宋体"/>
          <w:color w:val="auto"/>
          <w:sz w:val="21"/>
          <w:szCs w:val="21"/>
          <w:u w:val="single"/>
        </w:rPr>
        <w:t>（填写“联合体中各方的全称”，各方的全称之间请用“、”分割）</w:t>
      </w:r>
      <w:r>
        <w:rPr>
          <w:rFonts w:hint="eastAsia" w:ascii="宋体" w:hAnsi="宋体" w:eastAsia="宋体" w:cs="宋体"/>
          <w:color w:val="auto"/>
          <w:sz w:val="21"/>
          <w:szCs w:val="21"/>
        </w:rPr>
        <w:t>自愿组成联合体，共同参加</w:t>
      </w:r>
      <w:r>
        <w:rPr>
          <w:rFonts w:hint="eastAsia" w:ascii="宋体" w:hAnsi="宋体" w:eastAsia="宋体" w:cs="宋体"/>
          <w:color w:val="auto"/>
          <w:sz w:val="21"/>
          <w:szCs w:val="21"/>
          <w:u w:val="single"/>
        </w:rPr>
        <w:t>（填写“项目名称”） </w:t>
      </w:r>
      <w:r>
        <w:rPr>
          <w:rFonts w:hint="eastAsia" w:ascii="宋体" w:hAnsi="宋体" w:eastAsia="宋体" w:cs="宋体"/>
          <w:color w:val="auto"/>
          <w:sz w:val="21"/>
          <w:szCs w:val="21"/>
        </w:rPr>
        <w:t>项目（招标编号：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）的投标。现就联合体参加本项目投标的有关事宜达成下列协议：</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一、联合体各方应承担的工作和义务具体如下：</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1、牵头方（</w:t>
      </w:r>
      <w:r>
        <w:rPr>
          <w:rFonts w:hint="eastAsia" w:ascii="宋体" w:hAnsi="宋体" w:eastAsia="宋体" w:cs="宋体"/>
          <w:color w:val="auto"/>
          <w:sz w:val="21"/>
          <w:szCs w:val="21"/>
          <w:u w:val="single"/>
        </w:rPr>
        <w:t>全称</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（填写“工作及义务的具体内容”） </w:t>
      </w: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2、成员方：</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2.1</w:t>
      </w:r>
      <w:r>
        <w:rPr>
          <w:rFonts w:hint="eastAsia" w:ascii="宋体" w:hAnsi="宋体" w:eastAsia="宋体" w:cs="宋体"/>
          <w:color w:val="auto"/>
          <w:sz w:val="21"/>
          <w:szCs w:val="21"/>
          <w:u w:val="single"/>
        </w:rPr>
        <w:t>（成员一的全称）</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（填写“工作及义务的具体内容”） </w:t>
      </w: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firstLine="420"/>
        <w:rPr>
          <w:color w:val="auto"/>
        </w:rPr>
      </w:pPr>
      <w:r>
        <w:rPr>
          <w:rFonts w:hint="default" w:ascii="Calibri" w:hAnsi="Calibri" w:cs="Calibri"/>
          <w:color w:val="auto"/>
          <w:sz w:val="21"/>
          <w:szCs w:val="21"/>
        </w:rPr>
        <w:t>……</w:t>
      </w: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二、联合体各方约定：</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1、由</w:t>
      </w:r>
      <w:r>
        <w:rPr>
          <w:rFonts w:hint="eastAsia" w:ascii="宋体" w:hAnsi="宋体" w:eastAsia="宋体" w:cs="宋体"/>
          <w:color w:val="auto"/>
          <w:sz w:val="21"/>
          <w:szCs w:val="21"/>
          <w:u w:val="single"/>
        </w:rPr>
        <w:t>（填写“牵头方的全称”）</w:t>
      </w:r>
      <w:r>
        <w:rPr>
          <w:rFonts w:hint="eastAsia" w:ascii="宋体" w:hAnsi="宋体" w:eastAsia="宋体" w:cs="宋体"/>
          <w:color w:val="auto"/>
          <w:sz w:val="21"/>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2、联合体各方约定由</w:t>
      </w:r>
      <w:r>
        <w:rPr>
          <w:rFonts w:hint="eastAsia" w:ascii="宋体" w:hAnsi="宋体" w:eastAsia="宋体" w:cs="宋体"/>
          <w:color w:val="auto"/>
          <w:sz w:val="21"/>
          <w:szCs w:val="21"/>
          <w:u w:val="single"/>
        </w:rPr>
        <w:t>（填写“牵头方的全称”）</w:t>
      </w:r>
      <w:r>
        <w:rPr>
          <w:rFonts w:hint="eastAsia" w:ascii="宋体" w:hAnsi="宋体" w:eastAsia="宋体" w:cs="宋体"/>
          <w:color w:val="auto"/>
          <w:sz w:val="21"/>
          <w:szCs w:val="21"/>
        </w:rPr>
        <w:t>代表联合体办理投标保证金事宜。</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3、</w:t>
      </w:r>
      <w:r>
        <w:rPr>
          <w:rFonts w:hint="eastAsia" w:ascii="宋体" w:hAnsi="宋体" w:eastAsia="宋体" w:cs="宋体"/>
          <w:i w:val="0"/>
          <w:color w:val="auto"/>
          <w:spacing w:val="0"/>
          <w:sz w:val="21"/>
          <w:szCs w:val="21"/>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i w:val="0"/>
          <w:color w:val="auto"/>
          <w:spacing w:val="0"/>
          <w:sz w:val="21"/>
          <w:szCs w:val="21"/>
          <w:u w:val="single"/>
        </w:rPr>
        <w:t>（应填写“其中一方的全称”，如：联合体确定以成员一的条件参与商务部分的评标，则填写“成员一的全称”…；否则填写“无”）</w:t>
      </w:r>
      <w:r>
        <w:rPr>
          <w:rFonts w:hint="eastAsia" w:ascii="宋体" w:hAnsi="宋体" w:eastAsia="宋体" w:cs="宋体"/>
          <w:i w:val="0"/>
          <w:color w:val="auto"/>
          <w:spacing w:val="0"/>
          <w:sz w:val="21"/>
          <w:szCs w:val="21"/>
        </w:rPr>
        <w:t>的条件参与商务部分的评标。</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三、若中标，牵头方将代表联合体与采购人就合同签订事宜进行协商；若协商一致，则联合体各方将共同与采购人签订政府采购合同，并就政府采购合同约定的事项对采购人承担连带责任。</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四、本协议自签署之日起生效，政府采购合同履行完毕后自动失效。</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五、本协议一式</w:t>
      </w:r>
      <w:r>
        <w:rPr>
          <w:rFonts w:hint="eastAsia" w:ascii="宋体" w:hAnsi="宋体" w:eastAsia="宋体" w:cs="宋体"/>
          <w:color w:val="auto"/>
          <w:sz w:val="21"/>
          <w:szCs w:val="21"/>
          <w:u w:val="single"/>
        </w:rPr>
        <w:t>（填写具体份数）</w:t>
      </w:r>
      <w:r>
        <w:rPr>
          <w:rFonts w:hint="eastAsia" w:ascii="宋体" w:hAnsi="宋体" w:eastAsia="宋体" w:cs="宋体"/>
          <w:color w:val="auto"/>
          <w:sz w:val="21"/>
          <w:szCs w:val="21"/>
        </w:rPr>
        <w:t>份，联合体各方各执一份，投标文件中提交一份。</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（以下无正文）</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牵头方：</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（签字或盖章）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成员一：</w:t>
      </w:r>
      <w:r>
        <w:rPr>
          <w:rFonts w:hint="eastAsia" w:ascii="宋体" w:hAnsi="宋体" w:eastAsia="宋体" w:cs="宋体"/>
          <w:color w:val="auto"/>
          <w:sz w:val="21"/>
          <w:szCs w:val="21"/>
          <w:u w:val="single"/>
        </w:rPr>
        <w:t>（全称并加盖成员一的单位公章）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（签字或盖章）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成员**：</w:t>
      </w:r>
      <w:r>
        <w:rPr>
          <w:rFonts w:hint="eastAsia" w:ascii="宋体" w:hAnsi="宋体" w:eastAsia="宋体" w:cs="宋体"/>
          <w:color w:val="auto"/>
          <w:sz w:val="21"/>
          <w:szCs w:val="21"/>
          <w:u w:val="single"/>
        </w:rPr>
        <w:t>（全称并加盖成员**的单位公章）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（签字或盖章）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right"/>
        <w:rPr>
          <w:color w:val="auto"/>
        </w:rPr>
      </w:pPr>
      <w:r>
        <w:rPr>
          <w:rFonts w:hint="eastAsia" w:ascii="宋体" w:hAnsi="宋体" w:eastAsia="宋体" w:cs="宋体"/>
          <w:color w:val="auto"/>
          <w:sz w:val="21"/>
          <w:szCs w:val="21"/>
        </w:rPr>
        <w:t>签署日期：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1、招标文件接受联合体投标且投标人为联合体的，投标人应提供本协议；否则无须提供。</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2、本协议由委托代理人签字或盖章的，应按照本章载明的格式提供“单位负责人授权书”。</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3、纸质投标文件正本中的本协议（若有）应为原件。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1"/>
          <w:szCs w:val="21"/>
        </w:rPr>
        <w:t>二-11中小企业声明函</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（专门面向中小企业或小型、微型企业适用，若有）</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本投标人郑重声明，根据《政府采购促进中小企业发展暂行办法》（财库[2011]181号）的规定，本投标人为</w:t>
      </w:r>
      <w:r>
        <w:rPr>
          <w:rFonts w:hint="eastAsia" w:ascii="宋体" w:hAnsi="宋体" w:eastAsia="宋体" w:cs="宋体"/>
          <w:color w:val="auto"/>
          <w:sz w:val="21"/>
          <w:szCs w:val="21"/>
          <w:u w:val="single"/>
        </w:rPr>
        <w:t>（填写“中型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企业。即本投标人同时满足以下条件：</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1、根据《工业和信息化部、国家统计局、国家发展和改革委员会、财政部关于印发中小企业划型标准规定的通知》（工信部联企业</w:t>
      </w:r>
      <w:r>
        <w:rPr>
          <w:rFonts w:hint="default" w:ascii="Calibri" w:hAnsi="Calibri" w:eastAsia="宋体" w:cs="Calibri"/>
          <w:color w:val="auto"/>
          <w:sz w:val="21"/>
          <w:szCs w:val="21"/>
        </w:rPr>
        <w:t>[2011]300</w:t>
      </w:r>
      <w:r>
        <w:rPr>
          <w:rFonts w:hint="eastAsia" w:ascii="宋体" w:hAnsi="宋体" w:eastAsia="宋体" w:cs="宋体"/>
          <w:color w:val="auto"/>
          <w:sz w:val="21"/>
          <w:szCs w:val="21"/>
        </w:rPr>
        <w:t>号）规定的划分标准，本投标人为</w:t>
      </w:r>
      <w:r>
        <w:rPr>
          <w:rFonts w:hint="eastAsia" w:ascii="宋体" w:hAnsi="宋体" w:eastAsia="宋体" w:cs="宋体"/>
          <w:color w:val="auto"/>
          <w:sz w:val="21"/>
          <w:szCs w:val="21"/>
          <w:u w:val="single"/>
        </w:rPr>
        <w:t>  （填写“中型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2、本投标人参加贵单位组织的</w:t>
      </w:r>
      <w:r>
        <w:rPr>
          <w:rFonts w:hint="eastAsia" w:ascii="宋体" w:hAnsi="宋体" w:eastAsia="宋体" w:cs="宋体"/>
          <w:color w:val="auto"/>
          <w:sz w:val="21"/>
          <w:szCs w:val="21"/>
          <w:u w:val="single"/>
        </w:rPr>
        <w:t> （填写“项目名称”） </w:t>
      </w:r>
      <w:r>
        <w:rPr>
          <w:rFonts w:hint="eastAsia" w:ascii="宋体" w:hAnsi="宋体" w:eastAsia="宋体" w:cs="宋体"/>
          <w:color w:val="auto"/>
          <w:sz w:val="21"/>
          <w:szCs w:val="21"/>
        </w:rPr>
        <w:t>项目采购活动，其中：</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①货物（不包括使用大型企业注册商标的货物）：</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）提供本投标人制造的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货物；或</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）提供其他</w:t>
      </w:r>
      <w:r>
        <w:rPr>
          <w:rFonts w:hint="eastAsia" w:ascii="宋体" w:hAnsi="宋体" w:eastAsia="宋体" w:cs="宋体"/>
          <w:color w:val="auto"/>
          <w:sz w:val="21"/>
          <w:szCs w:val="21"/>
          <w:u w:val="single"/>
        </w:rPr>
        <w:t>（填写“中型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②工程：</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）由本投标人承担的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工程。</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③服务：</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）由本投标人提供的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服务。</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本投标人对上述声明的真实性负责。如有虚假，将依法承担相应责任。</w:t>
      </w:r>
    </w:p>
    <w:p>
      <w:pPr>
        <w:pStyle w:val="6"/>
        <w:keepNext w:val="0"/>
        <w:keepLines w:val="0"/>
        <w:widowControl/>
        <w:suppressLineNumbers w:val="0"/>
        <w:spacing w:before="0" w:beforeAutospacing="0" w:after="150" w:afterAutospacing="0"/>
        <w:ind w:left="0" w:right="0" w:firstLine="42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1、请投标人按照实际情况编制填写本声明函，并在相应的（）中打“√”。</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2、投标人应认真对照《工业和信息化部、国家统计局、国家发展和改革委员会、财政部关于印发中小企业划型标准规定的通知》（工信部联企业</w:t>
      </w:r>
      <w:r>
        <w:rPr>
          <w:rFonts w:hint="default" w:ascii="Calibri" w:hAnsi="Calibri" w:eastAsia="宋体" w:cs="Calibri"/>
          <w:color w:val="auto"/>
          <w:sz w:val="21"/>
          <w:szCs w:val="21"/>
        </w:rPr>
        <w:t>[2011]300</w:t>
      </w:r>
      <w:r>
        <w:rPr>
          <w:rFonts w:hint="eastAsia" w:ascii="宋体" w:hAnsi="宋体" w:eastAsia="宋体" w:cs="宋体"/>
          <w:color w:val="auto"/>
          <w:sz w:val="21"/>
          <w:szCs w:val="21"/>
        </w:rPr>
        <w:t>号）规定的划分标准，并按照国家统计局现行的关于统计上大中小微型企业划分办法的有关规定准确划分企业类型。</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3、投标人为监狱企业的，可不填写本声明函，根据其提供的由省级以上监狱管理局、戒毒管理局（含新疆生产建设兵团）出具的属于监狱企业的证明文件进行认定，监狱企业视同小型、微型企业。</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4、投标人为残疾人福利性单位的，可不填写本声明函，根据其提供的《残疾人福利性单位声明函》（格式附后）进行认定，残疾人福利性单位视同小型、微型企业。</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5、纸质投标文件正本中的本声明函（若有）应为原件。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6、若《中小企业声明函》（包括本格式第</w:t>
      </w:r>
      <w:r>
        <w:rPr>
          <w:rFonts w:hint="default" w:ascii="Calibri" w:hAnsi="Calibri" w:eastAsia="宋体" w:cs="Calibri"/>
          <w:color w:val="auto"/>
          <w:sz w:val="21"/>
          <w:szCs w:val="21"/>
        </w:rPr>
        <w:t>3</w:t>
      </w:r>
      <w:r>
        <w:rPr>
          <w:rFonts w:hint="eastAsia" w:ascii="宋体" w:hAnsi="宋体" w:eastAsia="宋体" w:cs="宋体"/>
          <w:color w:val="auto"/>
          <w:sz w:val="21"/>
          <w:szCs w:val="21"/>
        </w:rPr>
        <w:t>、</w:t>
      </w:r>
      <w:r>
        <w:rPr>
          <w:rFonts w:hint="default" w:ascii="Calibri" w:hAnsi="Calibri" w:eastAsia="宋体" w:cs="Calibri"/>
          <w:color w:val="auto"/>
          <w:sz w:val="21"/>
          <w:szCs w:val="21"/>
        </w:rPr>
        <w:t>4</w:t>
      </w:r>
      <w:r>
        <w:rPr>
          <w:rFonts w:hint="eastAsia" w:ascii="宋体" w:hAnsi="宋体" w:eastAsia="宋体" w:cs="宋体"/>
          <w:color w:val="auto"/>
          <w:sz w:val="21"/>
          <w:szCs w:val="21"/>
        </w:rPr>
        <w:t>条规定的证明文件及声明函）内容不真实，</w:t>
      </w:r>
      <w:r>
        <w:rPr>
          <w:rStyle w:val="9"/>
          <w:rFonts w:hint="eastAsia" w:ascii="宋体" w:hAnsi="宋体" w:eastAsia="宋体" w:cs="宋体"/>
          <w:b/>
          <w:color w:val="auto"/>
          <w:sz w:val="21"/>
          <w:szCs w:val="21"/>
        </w:rPr>
        <w:t>视为提供虚假材料。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附：</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残疾人福利性单位声明函</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（专门面向中小企业或小型、微型企业适用，若有）</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color w:val="auto"/>
          <w:sz w:val="21"/>
          <w:szCs w:val="21"/>
          <w:u w:val="single"/>
        </w:rPr>
        <w:t>（填写“项目名称”）</w:t>
      </w:r>
      <w:r>
        <w:rPr>
          <w:rFonts w:hint="eastAsia" w:ascii="宋体" w:hAnsi="宋体" w:eastAsia="宋体" w:cs="宋体"/>
          <w:color w:val="auto"/>
          <w:sz w:val="21"/>
          <w:szCs w:val="21"/>
        </w:rPr>
        <w:t>项目采购活动：</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）提供本投标人制造的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）由本投标人承担的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工程，</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）由本投标人提供的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服务；或</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）提供其他残疾人福利性单位制造的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货物（不包括使用非残疾人福利性单位注册商标的货物）。</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本投标人对上述声明的真实性负责。如有虚假，将依法承担相应责任。</w:t>
      </w:r>
    </w:p>
    <w:p>
      <w:pPr>
        <w:pStyle w:val="6"/>
        <w:keepNext w:val="0"/>
        <w:keepLines w:val="0"/>
        <w:widowControl/>
        <w:suppressLineNumbers w:val="0"/>
        <w:spacing w:before="0" w:beforeAutospacing="0" w:after="150" w:afterAutospacing="0"/>
        <w:ind w:left="0" w:right="0" w:firstLine="42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1、请投标人按照实际情况编制填写本声明函，并在相应的（）中打“√”。</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2、纸质投标文件正本中的本声明函（若有）应为原件。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3、若《残疾人福利性单位声明函》内容不真实，</w:t>
      </w:r>
      <w:r>
        <w:rPr>
          <w:rStyle w:val="9"/>
          <w:rFonts w:hint="eastAsia" w:ascii="宋体" w:hAnsi="宋体" w:eastAsia="宋体" w:cs="宋体"/>
          <w:b/>
          <w:color w:val="auto"/>
          <w:sz w:val="21"/>
          <w:szCs w:val="21"/>
        </w:rPr>
        <w:t>视为提供虚假材料。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br w:type="textWrapping"/>
      </w:r>
      <w:r>
        <w:rPr>
          <w:rStyle w:val="9"/>
          <w:rFonts w:hint="eastAsia" w:ascii="宋体" w:hAnsi="宋体" w:eastAsia="宋体" w:cs="宋体"/>
          <w:b/>
          <w:color w:val="auto"/>
          <w:sz w:val="21"/>
          <w:szCs w:val="21"/>
        </w:rPr>
        <w:t>二-12其他资格证明文件（若有）</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二</w:t>
      </w:r>
      <w:r>
        <w:rPr>
          <w:rStyle w:val="9"/>
          <w:rFonts w:hint="eastAsia" w:ascii="宋体" w:hAnsi="宋体" w:eastAsia="宋体" w:cs="宋体"/>
          <w:b/>
          <w:color w:val="auto"/>
          <w:sz w:val="21"/>
          <w:szCs w:val="21"/>
        </w:rPr>
        <w:t>-12-①具备履行合同所必需设备和专业技术能力专项证明材料（若有）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现附上我方具备履行合同所必需的设备和专业技术能力的专项证明材料复印件（具体附后），上述证明材料真实有效，否则我方负全部责任。</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1、招标文件要求投标人提供“具备履行合同所必需的设备和专业技术能力专项证明材料”的，投标人应按照招标文件规定在此项下提供相应证明材料复印件。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2、投标人提供的相应证明材料复印件均应符合：内容完整、清晰、整洁，并由投标人加盖其单位公章。</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1"/>
          <w:szCs w:val="21"/>
        </w:rPr>
        <w:t>二-12-②招标文件规定的其他资格证明文件（若有）</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编制说明</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除招标文件另有规定外，招标文件要求提交的除前述资格证明文件外的其他资格证明文件（若有）加盖投标人的单位公章后应在此项下提交。</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三</w:t>
      </w:r>
      <w:r>
        <w:rPr>
          <w:rStyle w:val="9"/>
          <w:rFonts w:hint="eastAsia" w:ascii="宋体" w:hAnsi="宋体" w:eastAsia="宋体" w:cs="宋体"/>
          <w:b/>
          <w:color w:val="auto"/>
          <w:sz w:val="21"/>
          <w:szCs w:val="21"/>
        </w:rPr>
        <w:t>、投标保证金</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编制说明</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1、在此项下提交的</w:t>
      </w:r>
      <w:r>
        <w:rPr>
          <w:rStyle w:val="9"/>
          <w:rFonts w:hint="eastAsia" w:ascii="宋体" w:hAnsi="宋体" w:eastAsia="宋体" w:cs="宋体"/>
          <w:b/>
          <w:color w:val="auto"/>
          <w:sz w:val="21"/>
          <w:szCs w:val="21"/>
        </w:rPr>
        <w:t>“投标保证金”</w:t>
      </w:r>
      <w:r>
        <w:rPr>
          <w:rFonts w:hint="eastAsia" w:ascii="宋体" w:hAnsi="宋体" w:eastAsia="宋体" w:cs="宋体"/>
          <w:color w:val="auto"/>
          <w:sz w:val="21"/>
          <w:szCs w:val="21"/>
        </w:rPr>
        <w:t>材料可使用转账凭证复印件或从福建省政府采购网上公开信息系统中下载的有关原始页面的打印件。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2、投标保证金是否已提交的认定按照招标文件第三章规定执行。</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8"/>
          <w:szCs w:val="28"/>
        </w:rPr>
        <w:t>封面格式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48"/>
          <w:szCs w:val="48"/>
        </w:rPr>
        <w:t>福建省政府采购投标文件</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48"/>
          <w:szCs w:val="48"/>
        </w:rPr>
        <w:t>（报价部分）</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36"/>
          <w:szCs w:val="36"/>
          <w:u w:val="single"/>
        </w:rPr>
        <w:t>（填写正本或副本）</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firstLine="1920"/>
        <w:rPr>
          <w:color w:val="auto"/>
        </w:rPr>
      </w:pPr>
      <w:r>
        <w:rPr>
          <w:rStyle w:val="9"/>
          <w:rFonts w:hint="eastAsia" w:ascii="宋体" w:hAnsi="宋体" w:eastAsia="宋体" w:cs="宋体"/>
          <w:b/>
          <w:color w:val="auto"/>
          <w:sz w:val="31"/>
          <w:szCs w:val="31"/>
        </w:rPr>
        <w:t>项目名称：</w:t>
      </w:r>
      <w:r>
        <w:rPr>
          <w:rStyle w:val="9"/>
          <w:rFonts w:hint="eastAsia" w:ascii="宋体" w:hAnsi="宋体" w:eastAsia="宋体" w:cs="宋体"/>
          <w:b/>
          <w:color w:val="auto"/>
          <w:sz w:val="31"/>
          <w:szCs w:val="31"/>
          <w:u w:val="single"/>
        </w:rPr>
        <w:t>（由投标人填写）</w:t>
      </w:r>
    </w:p>
    <w:p>
      <w:pPr>
        <w:pStyle w:val="6"/>
        <w:keepNext w:val="0"/>
        <w:keepLines w:val="0"/>
        <w:widowControl/>
        <w:suppressLineNumbers w:val="0"/>
        <w:spacing w:before="0" w:beforeAutospacing="0" w:after="150" w:afterAutospacing="0"/>
        <w:ind w:left="0" w:right="0" w:firstLine="1920"/>
        <w:rPr>
          <w:color w:val="auto"/>
        </w:rPr>
      </w:pPr>
      <w:r>
        <w:rPr>
          <w:rStyle w:val="9"/>
          <w:rFonts w:hint="eastAsia" w:ascii="宋体" w:hAnsi="宋体" w:eastAsia="宋体" w:cs="宋体"/>
          <w:b/>
          <w:color w:val="auto"/>
          <w:sz w:val="31"/>
          <w:szCs w:val="31"/>
        </w:rPr>
        <w:t>备案编号：</w:t>
      </w:r>
      <w:r>
        <w:rPr>
          <w:rStyle w:val="9"/>
          <w:rFonts w:hint="eastAsia" w:ascii="宋体" w:hAnsi="宋体" w:eastAsia="宋体" w:cs="宋体"/>
          <w:b/>
          <w:color w:val="auto"/>
          <w:sz w:val="31"/>
          <w:szCs w:val="31"/>
          <w:u w:val="single"/>
        </w:rPr>
        <w:t>（由投标人填写）</w:t>
      </w:r>
    </w:p>
    <w:p>
      <w:pPr>
        <w:pStyle w:val="6"/>
        <w:keepNext w:val="0"/>
        <w:keepLines w:val="0"/>
        <w:widowControl/>
        <w:suppressLineNumbers w:val="0"/>
        <w:spacing w:before="0" w:beforeAutospacing="0" w:after="150" w:afterAutospacing="0"/>
        <w:ind w:left="0" w:right="0" w:firstLine="1920"/>
        <w:rPr>
          <w:color w:val="auto"/>
        </w:rPr>
      </w:pPr>
      <w:r>
        <w:rPr>
          <w:rStyle w:val="9"/>
          <w:rFonts w:hint="eastAsia" w:ascii="宋体" w:hAnsi="宋体" w:eastAsia="宋体" w:cs="宋体"/>
          <w:b/>
          <w:color w:val="auto"/>
          <w:sz w:val="31"/>
          <w:szCs w:val="31"/>
        </w:rPr>
        <w:t>招标编号：</w:t>
      </w:r>
      <w:r>
        <w:rPr>
          <w:rStyle w:val="9"/>
          <w:rFonts w:hint="eastAsia" w:ascii="宋体" w:hAnsi="宋体" w:eastAsia="宋体" w:cs="宋体"/>
          <w:b/>
          <w:color w:val="auto"/>
          <w:sz w:val="31"/>
          <w:szCs w:val="31"/>
          <w:u w:val="single"/>
        </w:rPr>
        <w:t>（由投标人填写）</w:t>
      </w:r>
    </w:p>
    <w:p>
      <w:pPr>
        <w:pStyle w:val="6"/>
        <w:keepNext w:val="0"/>
        <w:keepLines w:val="0"/>
        <w:widowControl/>
        <w:suppressLineNumbers w:val="0"/>
        <w:spacing w:before="0" w:beforeAutospacing="0" w:after="150" w:afterAutospacing="0"/>
        <w:ind w:left="0" w:right="0" w:firstLine="1920"/>
        <w:rPr>
          <w:color w:val="auto"/>
        </w:rPr>
      </w:pPr>
      <w:r>
        <w:rPr>
          <w:rStyle w:val="9"/>
          <w:rFonts w:hint="eastAsia" w:ascii="宋体" w:hAnsi="宋体" w:eastAsia="宋体" w:cs="宋体"/>
          <w:b/>
          <w:color w:val="auto"/>
          <w:sz w:val="31"/>
          <w:szCs w:val="31"/>
        </w:rPr>
        <w:t>所投合同包：</w:t>
      </w:r>
      <w:r>
        <w:rPr>
          <w:rStyle w:val="9"/>
          <w:rFonts w:hint="eastAsia" w:ascii="宋体" w:hAnsi="宋体" w:eastAsia="宋体" w:cs="宋体"/>
          <w:b/>
          <w:color w:val="auto"/>
          <w:sz w:val="31"/>
          <w:szCs w:val="31"/>
          <w:u w:val="single"/>
        </w:rPr>
        <w:t>（由投标人填写）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31"/>
          <w:szCs w:val="31"/>
        </w:rPr>
        <w:t>投标人：</w:t>
      </w:r>
      <w:r>
        <w:rPr>
          <w:rStyle w:val="9"/>
          <w:rFonts w:hint="eastAsia" w:ascii="宋体" w:hAnsi="宋体" w:eastAsia="宋体" w:cs="宋体"/>
          <w:b/>
          <w:color w:val="auto"/>
          <w:sz w:val="31"/>
          <w:szCs w:val="31"/>
          <w:u w:val="single"/>
        </w:rPr>
        <w:t>（填写“全称”）</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31"/>
          <w:szCs w:val="31"/>
          <w:u w:val="single"/>
        </w:rPr>
        <w:t>（由投标人填写）</w:t>
      </w:r>
      <w:r>
        <w:rPr>
          <w:rStyle w:val="9"/>
          <w:rFonts w:hint="eastAsia" w:ascii="宋体" w:hAnsi="宋体" w:eastAsia="宋体" w:cs="宋体"/>
          <w:b/>
          <w:color w:val="auto"/>
          <w:sz w:val="31"/>
          <w:szCs w:val="31"/>
        </w:rPr>
        <w:t>年</w:t>
      </w:r>
      <w:r>
        <w:rPr>
          <w:rStyle w:val="9"/>
          <w:rFonts w:hint="eastAsia" w:ascii="宋体" w:hAnsi="宋体" w:eastAsia="宋体" w:cs="宋体"/>
          <w:b/>
          <w:color w:val="auto"/>
          <w:sz w:val="31"/>
          <w:szCs w:val="31"/>
          <w:u w:val="single"/>
        </w:rPr>
        <w:t>（由投标人填写）</w:t>
      </w:r>
      <w:r>
        <w:rPr>
          <w:rStyle w:val="9"/>
          <w:rFonts w:hint="eastAsia" w:ascii="宋体" w:hAnsi="宋体" w:eastAsia="宋体" w:cs="宋体"/>
          <w:b/>
          <w:color w:val="auto"/>
          <w:sz w:val="31"/>
          <w:szCs w:val="31"/>
        </w:rPr>
        <w:t>月</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8"/>
          <w:szCs w:val="28"/>
        </w:rPr>
        <w:t>索引</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一、开标一览表</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二、投标分项报价表</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三、招标文件规定的价格扣除证明材料（若有）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四、招标文件规定的加分证明材料（若有）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1"/>
          <w:szCs w:val="21"/>
        </w:rPr>
        <w:t>一、开标一览表</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jc w:val="right"/>
        <w:rPr>
          <w:color w:val="auto"/>
        </w:rPr>
      </w:pPr>
      <w:r>
        <w:rPr>
          <w:rFonts w:hint="eastAsia" w:ascii="宋体" w:hAnsi="宋体" w:eastAsia="宋体" w:cs="宋体"/>
          <w:color w:val="auto"/>
          <w:sz w:val="21"/>
          <w:szCs w:val="21"/>
        </w:rPr>
        <w:t>货币及单位：人民币元</w:t>
      </w:r>
    </w:p>
    <w:tbl>
      <w:tblPr>
        <w:tblStyle w:val="7"/>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207"/>
        <w:gridCol w:w="5670"/>
        <w:gridCol w:w="777"/>
        <w:gridCol w:w="8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1207"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w:t>
            </w:r>
          </w:p>
        </w:tc>
        <w:tc>
          <w:tcPr>
            <w:tcW w:w="567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投标报价</w:t>
            </w:r>
          </w:p>
        </w:tc>
        <w:tc>
          <w:tcPr>
            <w:tcW w:w="777"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投标</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保证金</w:t>
            </w:r>
          </w:p>
        </w:tc>
        <w:tc>
          <w:tcPr>
            <w:tcW w:w="866"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800" w:hRule="atLeast"/>
        </w:trPr>
        <w:tc>
          <w:tcPr>
            <w:tcW w:w="1207"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w:t>
            </w:r>
          </w:p>
        </w:tc>
        <w:tc>
          <w:tcPr>
            <w:tcW w:w="567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投标总价（大写金额）：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c>
          <w:tcPr>
            <w:tcW w:w="77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866"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a.投标报价的明细：详见《投标分项报价表》。</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b.招标文件规定的价格扣除证明材料（若有）：详见报价部分。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07"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567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投标总价（大写金额）：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c>
          <w:tcPr>
            <w:tcW w:w="77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866"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r>
    </w:tbl>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1、本表应按照下列规定填写：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1.1投标人应按照本表格式填写所投的合同包的“投标报价”。</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1.2本表中列示的“合同包”应与《投标分项报价表》中列示的“合同包”保持一致，即：若本表中列示的“合同包”为“</w:t>
      </w:r>
      <w:r>
        <w:rPr>
          <w:rFonts w:hint="default" w:ascii="Calibri" w:hAnsi="Calibri" w:eastAsia="宋体" w:cs="Calibri"/>
          <w:color w:val="auto"/>
          <w:sz w:val="21"/>
          <w:szCs w:val="21"/>
        </w:rPr>
        <w:t>1</w:t>
      </w:r>
      <w:r>
        <w:rPr>
          <w:rFonts w:hint="eastAsia" w:ascii="宋体" w:hAnsi="宋体" w:eastAsia="宋体" w:cs="宋体"/>
          <w:color w:val="auto"/>
          <w:sz w:val="21"/>
          <w:szCs w:val="21"/>
        </w:rPr>
        <w:t>”时，《投标分项报价表》中列示的“合同包”亦应为“</w:t>
      </w:r>
      <w:r>
        <w:rPr>
          <w:rFonts w:hint="default" w:ascii="Calibri" w:hAnsi="Calibri" w:eastAsia="宋体" w:cs="Calibri"/>
          <w:color w:val="auto"/>
          <w:sz w:val="21"/>
          <w:szCs w:val="21"/>
        </w:rPr>
        <w:t>1</w:t>
      </w:r>
      <w:r>
        <w:rPr>
          <w:rFonts w:hint="eastAsia" w:ascii="宋体" w:hAnsi="宋体" w:eastAsia="宋体" w:cs="宋体"/>
          <w:color w:val="auto"/>
          <w:sz w:val="21"/>
          <w:szCs w:val="21"/>
        </w:rPr>
        <w:t>”，以此类推。</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1.3“大写金额”指“投标报价”应用“壹、贰、叁、肆、伍、陆、柒、捌、玖、拾、佰、仟、万、亿、元、角、分、零”等进行填写。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2、纸质投标文件正本中的本表应为原件。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default" w:ascii="Calibri" w:hAnsi="Calibri" w:cs="Calibri"/>
          <w:b/>
          <w:color w:val="auto"/>
          <w:sz w:val="21"/>
          <w:szCs w:val="21"/>
        </w:rPr>
        <w:br w:type="textWrapping"/>
      </w:r>
      <w:r>
        <w:rPr>
          <w:rStyle w:val="9"/>
          <w:rFonts w:hint="eastAsia" w:ascii="宋体" w:hAnsi="宋体" w:eastAsia="宋体" w:cs="宋体"/>
          <w:b/>
          <w:color w:val="auto"/>
          <w:sz w:val="21"/>
          <w:szCs w:val="21"/>
        </w:rPr>
        <w:t>二、投标分项报价表</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jc w:val="right"/>
        <w:rPr>
          <w:color w:val="auto"/>
        </w:rPr>
      </w:pPr>
      <w:r>
        <w:rPr>
          <w:rFonts w:hint="eastAsia" w:ascii="宋体" w:hAnsi="宋体" w:eastAsia="宋体" w:cs="宋体"/>
          <w:color w:val="auto"/>
          <w:sz w:val="21"/>
          <w:szCs w:val="21"/>
        </w:rPr>
        <w:t>货币及单位：人民币元</w:t>
      </w:r>
    </w:p>
    <w:tbl>
      <w:tblPr>
        <w:tblStyle w:val="7"/>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420"/>
        <w:gridCol w:w="958"/>
        <w:gridCol w:w="1556"/>
        <w:gridCol w:w="1272"/>
        <w:gridCol w:w="853"/>
        <w:gridCol w:w="989"/>
        <w:gridCol w:w="569"/>
        <w:gridCol w:w="1093"/>
        <w:gridCol w:w="8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PrEx>
        <w:tc>
          <w:tcPr>
            <w:tcW w:w="42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w:t>
            </w:r>
          </w:p>
        </w:tc>
        <w:tc>
          <w:tcPr>
            <w:tcW w:w="958"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品目号</w:t>
            </w:r>
          </w:p>
        </w:tc>
        <w:tc>
          <w:tcPr>
            <w:tcW w:w="1556"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投标标的</w:t>
            </w:r>
          </w:p>
        </w:tc>
        <w:tc>
          <w:tcPr>
            <w:tcW w:w="1272"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规格</w:t>
            </w:r>
          </w:p>
        </w:tc>
        <w:tc>
          <w:tcPr>
            <w:tcW w:w="853"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来源地</w:t>
            </w:r>
          </w:p>
        </w:tc>
        <w:tc>
          <w:tcPr>
            <w:tcW w:w="989"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单价</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（现场）</w:t>
            </w:r>
          </w:p>
        </w:tc>
        <w:tc>
          <w:tcPr>
            <w:tcW w:w="569"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数量</w:t>
            </w:r>
          </w:p>
        </w:tc>
        <w:tc>
          <w:tcPr>
            <w:tcW w:w="1093"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总价</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（现场）</w:t>
            </w:r>
          </w:p>
        </w:tc>
        <w:tc>
          <w:tcPr>
            <w:tcW w:w="81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42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w:t>
            </w:r>
          </w:p>
        </w:tc>
        <w:tc>
          <w:tcPr>
            <w:tcW w:w="958"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*-1</w:t>
            </w:r>
          </w:p>
        </w:tc>
        <w:tc>
          <w:tcPr>
            <w:tcW w:w="1556"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27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853"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989"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569"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093"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42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9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556"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27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853"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989"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569"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093"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42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95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556"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27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853"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989"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569"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093"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bl>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1、本表应按照下列规定填写：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hint="default" w:ascii="Calibri" w:hAnsi="Calibri" w:eastAsia="宋体" w:cs="Calibri"/>
          <w:color w:val="auto"/>
          <w:sz w:val="21"/>
          <w:szCs w:val="21"/>
        </w:rPr>
        <w:t>1</w:t>
      </w:r>
      <w:r>
        <w:rPr>
          <w:rFonts w:hint="eastAsia" w:ascii="宋体" w:hAnsi="宋体" w:eastAsia="宋体" w:cs="宋体"/>
          <w:color w:val="auto"/>
          <w:sz w:val="21"/>
          <w:szCs w:val="21"/>
        </w:rPr>
        <w:t>”时，本表中列示的“合同包”亦应为“</w:t>
      </w:r>
      <w:r>
        <w:rPr>
          <w:rFonts w:hint="default" w:ascii="Calibri" w:hAnsi="Calibri" w:eastAsia="宋体" w:cs="Calibri"/>
          <w:color w:val="auto"/>
          <w:sz w:val="21"/>
          <w:szCs w:val="21"/>
        </w:rPr>
        <w:t>1</w:t>
      </w:r>
      <w:r>
        <w:rPr>
          <w:rFonts w:hint="eastAsia" w:ascii="宋体" w:hAnsi="宋体" w:eastAsia="宋体" w:cs="宋体"/>
          <w:color w:val="auto"/>
          <w:sz w:val="21"/>
          <w:szCs w:val="21"/>
        </w:rPr>
        <w:t>”，以此类推。</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1.2“投标标的”为货物的：</w:t>
      </w:r>
      <w:r>
        <w:rPr>
          <w:rStyle w:val="9"/>
          <w:rFonts w:hint="eastAsia" w:ascii="宋体" w:hAnsi="宋体" w:eastAsia="宋体" w:cs="宋体"/>
          <w:b/>
          <w:color w:val="auto"/>
          <w:sz w:val="21"/>
          <w:szCs w:val="21"/>
        </w:rPr>
        <w:t>“规格”</w:t>
      </w:r>
      <w:r>
        <w:rPr>
          <w:rFonts w:hint="eastAsia" w:ascii="宋体" w:hAnsi="宋体" w:eastAsia="宋体" w:cs="宋体"/>
          <w:color w:val="auto"/>
          <w:sz w:val="21"/>
          <w:szCs w:val="21"/>
        </w:rPr>
        <w:t>项下应填写货物制造厂商赋予的品牌（属于节能、环保清单产品的货物，填写的品牌名称应与清单载明的品牌名称保持一致）及具体型号。</w:t>
      </w:r>
      <w:r>
        <w:rPr>
          <w:rStyle w:val="9"/>
          <w:rFonts w:hint="eastAsia" w:ascii="宋体" w:hAnsi="宋体" w:eastAsia="宋体" w:cs="宋体"/>
          <w:b/>
          <w:color w:val="auto"/>
          <w:sz w:val="21"/>
          <w:szCs w:val="21"/>
        </w:rPr>
        <w:t>“来源地”</w:t>
      </w:r>
      <w:r>
        <w:rPr>
          <w:rFonts w:hint="eastAsia" w:ascii="宋体" w:hAnsi="宋体" w:eastAsia="宋体" w:cs="宋体"/>
          <w:color w:val="auto"/>
          <w:sz w:val="21"/>
          <w:szCs w:val="21"/>
        </w:rPr>
        <w:t>应填写货物的原产地。</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1.3“投标标的”为服务的：</w:t>
      </w:r>
      <w:r>
        <w:rPr>
          <w:rStyle w:val="9"/>
          <w:rFonts w:hint="eastAsia" w:ascii="宋体" w:hAnsi="宋体" w:eastAsia="宋体" w:cs="宋体"/>
          <w:b/>
          <w:color w:val="auto"/>
          <w:sz w:val="21"/>
          <w:szCs w:val="21"/>
        </w:rPr>
        <w:t>“规格”</w:t>
      </w:r>
      <w:r>
        <w:rPr>
          <w:rFonts w:hint="eastAsia" w:ascii="宋体" w:hAnsi="宋体" w:eastAsia="宋体" w:cs="宋体"/>
          <w:color w:val="auto"/>
          <w:sz w:val="21"/>
          <w:szCs w:val="21"/>
        </w:rPr>
        <w:t>项下应填写服务提供者提供的服务标准及品牌（若有）。</w:t>
      </w:r>
      <w:r>
        <w:rPr>
          <w:rStyle w:val="9"/>
          <w:rFonts w:hint="eastAsia" w:ascii="宋体" w:hAnsi="宋体" w:eastAsia="宋体" w:cs="宋体"/>
          <w:b/>
          <w:color w:val="auto"/>
          <w:sz w:val="21"/>
          <w:szCs w:val="21"/>
        </w:rPr>
        <w:t>“来源地”</w:t>
      </w:r>
      <w:r>
        <w:rPr>
          <w:rFonts w:hint="eastAsia" w:ascii="宋体" w:hAnsi="宋体" w:eastAsia="宋体" w:cs="宋体"/>
          <w:color w:val="auto"/>
          <w:sz w:val="21"/>
          <w:szCs w:val="21"/>
        </w:rPr>
        <w:t>应填写服务提供者的所在地。</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1.4同一合同包中，</w:t>
      </w:r>
      <w:r>
        <w:rPr>
          <w:rStyle w:val="9"/>
          <w:rFonts w:hint="eastAsia" w:ascii="宋体" w:hAnsi="宋体" w:eastAsia="宋体" w:cs="宋体"/>
          <w:b/>
          <w:color w:val="auto"/>
          <w:sz w:val="21"/>
          <w:szCs w:val="21"/>
        </w:rPr>
        <w:t>“单价（现场）”</w:t>
      </w:r>
      <w:r>
        <w:rPr>
          <w:rFonts w:hint="eastAsia" w:ascii="宋体" w:hAnsi="宋体" w:eastAsia="宋体" w:cs="宋体"/>
          <w:color w:val="auto"/>
          <w:sz w:val="21"/>
          <w:szCs w:val="21"/>
        </w:rPr>
        <w:t>×</w:t>
      </w:r>
      <w:r>
        <w:rPr>
          <w:rStyle w:val="9"/>
          <w:rFonts w:hint="eastAsia" w:ascii="宋体" w:hAnsi="宋体" w:eastAsia="宋体" w:cs="宋体"/>
          <w:b/>
          <w:color w:val="auto"/>
          <w:sz w:val="21"/>
          <w:szCs w:val="21"/>
        </w:rPr>
        <w:t>“数量”</w:t>
      </w:r>
      <w:r>
        <w:rPr>
          <w:rFonts w:hint="eastAsia" w:ascii="宋体" w:hAnsi="宋体" w:eastAsia="宋体" w:cs="宋体"/>
          <w:color w:val="auto"/>
          <w:sz w:val="21"/>
          <w:szCs w:val="21"/>
        </w:rPr>
        <w:t>=</w:t>
      </w:r>
      <w:r>
        <w:rPr>
          <w:rStyle w:val="9"/>
          <w:rFonts w:hint="eastAsia" w:ascii="宋体" w:hAnsi="宋体" w:eastAsia="宋体" w:cs="宋体"/>
          <w:b/>
          <w:color w:val="auto"/>
          <w:sz w:val="21"/>
          <w:szCs w:val="21"/>
        </w:rPr>
        <w:t>“总价（现场）”</w:t>
      </w:r>
      <w:r>
        <w:rPr>
          <w:rFonts w:hint="eastAsia" w:ascii="宋体" w:hAnsi="宋体" w:eastAsia="宋体" w:cs="宋体"/>
          <w:color w:val="auto"/>
          <w:sz w:val="21"/>
          <w:szCs w:val="21"/>
        </w:rPr>
        <w:t>，全部品目号</w:t>
      </w:r>
      <w:r>
        <w:rPr>
          <w:rStyle w:val="9"/>
          <w:rFonts w:hint="eastAsia" w:ascii="宋体" w:hAnsi="宋体" w:eastAsia="宋体" w:cs="宋体"/>
          <w:b/>
          <w:color w:val="auto"/>
          <w:sz w:val="21"/>
          <w:szCs w:val="21"/>
        </w:rPr>
        <w:t>“总价（现场）”</w:t>
      </w:r>
      <w:r>
        <w:rPr>
          <w:rFonts w:hint="eastAsia" w:ascii="宋体" w:hAnsi="宋体" w:eastAsia="宋体" w:cs="宋体"/>
          <w:color w:val="auto"/>
          <w:sz w:val="21"/>
          <w:szCs w:val="21"/>
        </w:rPr>
        <w:t>的合计金额应与《开标一览表》中相应合同包列示的</w:t>
      </w:r>
      <w:r>
        <w:rPr>
          <w:rStyle w:val="9"/>
          <w:rFonts w:hint="eastAsia" w:ascii="宋体" w:hAnsi="宋体" w:eastAsia="宋体" w:cs="宋体"/>
          <w:b/>
          <w:color w:val="auto"/>
          <w:sz w:val="21"/>
          <w:szCs w:val="21"/>
        </w:rPr>
        <w:t>“投标总价”</w:t>
      </w:r>
      <w:r>
        <w:rPr>
          <w:rFonts w:hint="eastAsia" w:ascii="宋体" w:hAnsi="宋体" w:eastAsia="宋体" w:cs="宋体"/>
          <w:color w:val="auto"/>
          <w:sz w:val="21"/>
          <w:szCs w:val="21"/>
        </w:rPr>
        <w:t>保持一致。</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1.5若招标文件要求投标人对“备品备件价格、专用工具价格、技术服务费、安装调试费、检验培训费、运输费、保险费、税收”等进行报价的，请在本表的</w:t>
      </w:r>
      <w:r>
        <w:rPr>
          <w:rStyle w:val="9"/>
          <w:rFonts w:hint="eastAsia" w:ascii="宋体" w:hAnsi="宋体" w:eastAsia="宋体" w:cs="宋体"/>
          <w:b/>
          <w:color w:val="auto"/>
          <w:sz w:val="21"/>
          <w:szCs w:val="21"/>
        </w:rPr>
        <w:t>“备注”</w:t>
      </w:r>
      <w:r>
        <w:rPr>
          <w:rFonts w:hint="eastAsia" w:ascii="宋体" w:hAnsi="宋体" w:eastAsia="宋体" w:cs="宋体"/>
          <w:color w:val="auto"/>
          <w:sz w:val="21"/>
          <w:szCs w:val="21"/>
        </w:rPr>
        <w:t>项下填写。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2、纸质投标文件正本中的本表应为原件。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1"/>
          <w:szCs w:val="21"/>
        </w:rPr>
        <w:t>三、招标文件规定的价格扣除证明材料（若有）</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三-1优先类节能产品、环境标志产品价格扣除证明材料（若有）</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三-1-①优先类节能产品、环境标志产品统计表（价格扣除适用，若有）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jc w:val="right"/>
        <w:rPr>
          <w:color w:val="auto"/>
        </w:rPr>
      </w:pPr>
      <w:r>
        <w:rPr>
          <w:rFonts w:hint="eastAsia" w:ascii="宋体" w:hAnsi="宋体" w:eastAsia="宋体" w:cs="宋体"/>
          <w:color w:val="auto"/>
          <w:sz w:val="21"/>
          <w:szCs w:val="21"/>
        </w:rPr>
        <w:t>货币及单位：人民币元</w:t>
      </w:r>
    </w:p>
    <w:tbl>
      <w:tblPr>
        <w:tblStyle w:val="7"/>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品目号</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货物名称</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单价</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数量</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总价</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（现场）</w:t>
            </w: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*-1</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备注</w:t>
            </w: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a.合同包内属于节能、环境标志产品的报价总金额：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b.合同包投标总价（报价总金额）：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c.“合同包内属于节能、环境标志产品的报价总金额”占“合同包投标总价（报价总金额）”的比例（以</w:t>
            </w:r>
            <w:r>
              <w:rPr>
                <w:rFonts w:hint="default" w:ascii="Calibri" w:hAnsi="Calibri" w:eastAsia="宋体" w:cs="Calibri"/>
                <w:color w:val="auto"/>
                <w:sz w:val="21"/>
                <w:szCs w:val="21"/>
              </w:rPr>
              <w:t>%</w:t>
            </w:r>
            <w:r>
              <w:rPr>
                <w:rFonts w:hint="eastAsia" w:ascii="宋体" w:hAnsi="宋体" w:eastAsia="宋体" w:cs="宋体"/>
                <w:color w:val="auto"/>
                <w:sz w:val="21"/>
                <w:szCs w:val="21"/>
              </w:rPr>
              <w:t>列示）：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r>
    </w:tbl>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1、对节能、环境标志产品计算价格扣除时，只依据投标文件</w:t>
      </w:r>
      <w:r>
        <w:rPr>
          <w:rStyle w:val="9"/>
          <w:rFonts w:hint="eastAsia" w:ascii="宋体" w:hAnsi="宋体" w:eastAsia="宋体" w:cs="宋体"/>
          <w:b/>
          <w:color w:val="auto"/>
          <w:sz w:val="21"/>
          <w:szCs w:val="21"/>
        </w:rPr>
        <w:t>“三</w:t>
      </w:r>
      <w:r>
        <w:rPr>
          <w:rStyle w:val="9"/>
          <w:rFonts w:hint="default" w:ascii="Calibri" w:hAnsi="Calibri" w:eastAsia="宋体" w:cs="Calibri"/>
          <w:b/>
          <w:color w:val="auto"/>
          <w:sz w:val="21"/>
          <w:szCs w:val="21"/>
        </w:rPr>
        <w:t>-1-</w:t>
      </w:r>
      <w:r>
        <w:rPr>
          <w:rStyle w:val="9"/>
          <w:rFonts w:hint="eastAsia" w:ascii="宋体" w:hAnsi="宋体" w:eastAsia="宋体" w:cs="宋体"/>
          <w:b/>
          <w:color w:val="auto"/>
          <w:sz w:val="21"/>
          <w:szCs w:val="21"/>
        </w:rPr>
        <w:t>②优先类节能产品、环境标志产品证明材料（价格扣除适用，若有）”。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2、本表以合同包为单位，不同合同包请分别填写；同一合同包请按照其品目号顺序分别填写。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3、具体统计、计算：</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3.1若节能、环境标志产品仅是构成投标产品的部件、组件或零件，则该投标产品不享受鼓励优惠政策。同一品目中各认证证书不重复计算价格扣除。强制类节能产品不享受价格扣除。</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3.2计算结果若除不尽，可四舍五入保留到小数点后两位。</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3.3投标人应按照招标文件要求认真统计、计算，否则评标委员会不予认定。</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3.4若无节能、环境标志产品，不填写本表，否则，</w:t>
      </w:r>
      <w:r>
        <w:rPr>
          <w:rStyle w:val="9"/>
          <w:rFonts w:hint="eastAsia" w:ascii="宋体" w:hAnsi="宋体" w:eastAsia="宋体" w:cs="宋体"/>
          <w:b/>
          <w:color w:val="auto"/>
          <w:sz w:val="21"/>
          <w:szCs w:val="21"/>
        </w:rPr>
        <w:t>视为提供虚假材料。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4、纸质投标文件正本中的本表（若有）应为原件。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default" w:ascii="Calibri" w:hAnsi="Calibri" w:cs="Calibri"/>
          <w:b/>
          <w:color w:val="auto"/>
          <w:sz w:val="21"/>
          <w:szCs w:val="21"/>
        </w:rPr>
        <w:br w:type="textWrapping"/>
      </w:r>
      <w:r>
        <w:rPr>
          <w:rStyle w:val="9"/>
          <w:rFonts w:hint="eastAsia" w:ascii="宋体" w:hAnsi="宋体" w:eastAsia="宋体" w:cs="宋体"/>
          <w:b/>
          <w:color w:val="auto"/>
          <w:sz w:val="21"/>
          <w:szCs w:val="21"/>
        </w:rPr>
        <w:t>三-1-②优先类节能产品、环境标志产品证明材料（价格扣除适用，若有）</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编制说明</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除招标文件另有规定外，投标人应按照招标文件第二章（表1）第</w:t>
      </w:r>
      <w:r>
        <w:rPr>
          <w:rFonts w:hint="default" w:ascii="Calibri" w:hAnsi="Calibri" w:eastAsia="宋体" w:cs="Calibri"/>
          <w:color w:val="auto"/>
          <w:sz w:val="21"/>
          <w:szCs w:val="21"/>
        </w:rPr>
        <w:t>13</w:t>
      </w:r>
      <w:r>
        <w:rPr>
          <w:rFonts w:hint="eastAsia" w:ascii="宋体" w:hAnsi="宋体" w:eastAsia="宋体" w:cs="宋体"/>
          <w:color w:val="auto"/>
          <w:sz w:val="21"/>
          <w:szCs w:val="21"/>
        </w:rPr>
        <w:t>项规定提供相应证明材料。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default" w:ascii="Calibri" w:hAnsi="Calibri" w:cs="Calibri"/>
          <w:b/>
          <w:color w:val="auto"/>
          <w:sz w:val="21"/>
          <w:szCs w:val="21"/>
        </w:rPr>
        <w:br w:type="textWrapping"/>
      </w:r>
      <w:r>
        <w:rPr>
          <w:rStyle w:val="9"/>
          <w:rFonts w:hint="eastAsia" w:ascii="宋体" w:hAnsi="宋体" w:eastAsia="宋体" w:cs="宋体"/>
          <w:b/>
          <w:color w:val="auto"/>
          <w:sz w:val="21"/>
          <w:szCs w:val="21"/>
        </w:rPr>
        <w:t>三-2小型、微型企业产品等价格扣除证明材料（若有）</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三-2-①小型、微型企业产品等统计表（价格扣除适用，若有）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jc w:val="right"/>
        <w:rPr>
          <w:color w:val="auto"/>
        </w:rPr>
      </w:pPr>
      <w:r>
        <w:rPr>
          <w:rFonts w:hint="eastAsia" w:ascii="宋体" w:hAnsi="宋体" w:eastAsia="宋体" w:cs="宋体"/>
          <w:color w:val="auto"/>
          <w:sz w:val="21"/>
          <w:szCs w:val="21"/>
        </w:rPr>
        <w:t>货币及单位：人民币元</w:t>
      </w:r>
    </w:p>
    <w:tbl>
      <w:tblPr>
        <w:tblStyle w:val="7"/>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215"/>
        <w:gridCol w:w="1215"/>
        <w:gridCol w:w="1080"/>
        <w:gridCol w:w="990"/>
        <w:gridCol w:w="705"/>
        <w:gridCol w:w="990"/>
        <w:gridCol w:w="1140"/>
        <w:gridCol w:w="11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7305" w:type="dxa"/>
            <w:gridSpan w:val="7"/>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合同包内属于小型、微型企业产品等的情况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品目号</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采购标的</w:t>
            </w: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单价</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（现场）</w:t>
            </w:r>
          </w:p>
        </w:tc>
        <w:tc>
          <w:tcPr>
            <w:tcW w:w="70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数量</w:t>
            </w: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总价</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（现场）</w:t>
            </w: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制造厂商</w:t>
            </w: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企业类型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*-1</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7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7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备注</w:t>
            </w:r>
          </w:p>
        </w:tc>
        <w:tc>
          <w:tcPr>
            <w:tcW w:w="7305" w:type="dxa"/>
            <w:gridSpan w:val="7"/>
            <w:tcBorders>
              <w:top w:val="nil"/>
              <w:left w:val="nil"/>
              <w:bottom w:val="nil"/>
              <w:right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合同包内属于小型、微型企业产品等的报价总金额：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r>
    </w:tbl>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1、对小型、微型企业产品等计算价格扣除时，只依据投标文件</w:t>
      </w:r>
      <w:r>
        <w:rPr>
          <w:rStyle w:val="9"/>
          <w:rFonts w:hint="eastAsia" w:ascii="宋体" w:hAnsi="宋体" w:eastAsia="宋体" w:cs="宋体"/>
          <w:b/>
          <w:color w:val="auto"/>
          <w:sz w:val="21"/>
          <w:szCs w:val="21"/>
        </w:rPr>
        <w:t>“三</w:t>
      </w:r>
      <w:r>
        <w:rPr>
          <w:rStyle w:val="9"/>
          <w:rFonts w:hint="default" w:ascii="Calibri" w:hAnsi="Calibri" w:eastAsia="宋体" w:cs="Calibri"/>
          <w:b/>
          <w:color w:val="auto"/>
          <w:sz w:val="21"/>
          <w:szCs w:val="21"/>
        </w:rPr>
        <w:t>-2-</w:t>
      </w:r>
      <w:r>
        <w:rPr>
          <w:rStyle w:val="9"/>
          <w:rFonts w:hint="eastAsia" w:ascii="宋体" w:hAnsi="宋体" w:eastAsia="宋体" w:cs="宋体"/>
          <w:b/>
          <w:color w:val="auto"/>
          <w:sz w:val="21"/>
          <w:szCs w:val="21"/>
        </w:rPr>
        <w:t>②中小企业声明函（价格扣除适用，若有）”及“三</w:t>
      </w:r>
      <w:r>
        <w:rPr>
          <w:rStyle w:val="9"/>
          <w:rFonts w:hint="default" w:ascii="Calibri" w:hAnsi="Calibri" w:eastAsia="宋体" w:cs="Calibri"/>
          <w:b/>
          <w:color w:val="auto"/>
          <w:sz w:val="21"/>
          <w:szCs w:val="21"/>
        </w:rPr>
        <w:t>-2-</w:t>
      </w:r>
      <w:r>
        <w:rPr>
          <w:rStyle w:val="9"/>
          <w:rFonts w:hint="eastAsia" w:ascii="宋体" w:hAnsi="宋体" w:eastAsia="宋体" w:cs="宋体"/>
          <w:b/>
          <w:color w:val="auto"/>
          <w:sz w:val="21"/>
          <w:szCs w:val="21"/>
        </w:rPr>
        <w:t>③小型、微型企业等证明材料（价格扣除适用，若有）”。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2、本表以合同包为单位，不同合同包请分别填写；同一合同包请按照其品目号顺序分别填写。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w:t>
      </w:r>
      <w:r>
        <w:rPr>
          <w:rStyle w:val="9"/>
          <w:rFonts w:hint="eastAsia" w:ascii="宋体" w:hAnsi="宋体" w:eastAsia="宋体" w:cs="宋体"/>
          <w:b/>
          <w:color w:val="auto"/>
          <w:sz w:val="21"/>
          <w:szCs w:val="21"/>
        </w:rPr>
        <w:t>除本表第4条规定情形外，小型、微型企业（含监狱企业）承担的工程或提供的服务不享受价格扣除。</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4、符合财政部、民政部、中国残联文件（财库</w:t>
      </w:r>
      <w:r>
        <w:rPr>
          <w:rFonts w:hint="default" w:ascii="Calibri" w:hAnsi="Calibri" w:eastAsia="宋体" w:cs="Calibri"/>
          <w:color w:val="auto"/>
          <w:sz w:val="21"/>
          <w:szCs w:val="21"/>
        </w:rPr>
        <w:t>[2017]141</w:t>
      </w:r>
      <w:r>
        <w:rPr>
          <w:rFonts w:hint="eastAsia" w:ascii="宋体" w:hAnsi="宋体" w:eastAsia="宋体" w:cs="宋体"/>
          <w:color w:val="auto"/>
          <w:sz w:val="21"/>
          <w:szCs w:val="21"/>
        </w:rPr>
        <w:t>号）规定的残疾人福利性单位提供本单位制造的货物、承担的工程或服务，或提供其他残疾人福利性单位制造的货物（不包括使用非残疾人福利性单位注册商标的货物）</w:t>
      </w:r>
      <w:r>
        <w:rPr>
          <w:rStyle w:val="9"/>
          <w:rFonts w:hint="eastAsia" w:ascii="宋体" w:hAnsi="宋体" w:eastAsia="宋体" w:cs="宋体"/>
          <w:b/>
          <w:color w:val="auto"/>
          <w:sz w:val="21"/>
          <w:szCs w:val="21"/>
        </w:rPr>
        <w:t>可享受价格扣除。</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5、纸质投标文件正本中的本表（若有）应为原件。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default" w:ascii="Calibri" w:hAnsi="Calibri" w:cs="Calibri"/>
          <w:b/>
          <w:color w:val="auto"/>
          <w:sz w:val="21"/>
          <w:szCs w:val="21"/>
        </w:rPr>
        <w:br w:type="textWrapping"/>
      </w:r>
      <w:r>
        <w:rPr>
          <w:rStyle w:val="9"/>
          <w:rFonts w:hint="eastAsia" w:ascii="宋体" w:hAnsi="宋体" w:eastAsia="宋体" w:cs="宋体"/>
          <w:b/>
          <w:color w:val="auto"/>
          <w:sz w:val="21"/>
          <w:szCs w:val="21"/>
        </w:rPr>
        <w:t>三-2-②中小企业声明函（价格扣除适用，若有）</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本投标人郑重声明，根据《政府采购促进中小企业发展暂行办法》（财库[2011]181号）的规定，本投标人为</w:t>
      </w:r>
      <w:r>
        <w:rPr>
          <w:rFonts w:hint="eastAsia" w:ascii="宋体" w:hAnsi="宋体" w:eastAsia="宋体" w:cs="宋体"/>
          <w:color w:val="auto"/>
          <w:sz w:val="21"/>
          <w:szCs w:val="21"/>
          <w:u w:val="single"/>
        </w:rPr>
        <w:t>（填写“中型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企业。即本投标人同时满足以下条件：</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1、根据《工业和信息化部、国家统计局、国家发展和改革委员会、财政部关于印发中小企业划型标准规定的通知》（工信部联企业</w:t>
      </w:r>
      <w:r>
        <w:rPr>
          <w:rFonts w:hint="default" w:ascii="Calibri" w:hAnsi="Calibri" w:eastAsia="宋体" w:cs="Calibri"/>
          <w:color w:val="auto"/>
          <w:sz w:val="21"/>
          <w:szCs w:val="21"/>
        </w:rPr>
        <w:t>[2011]300</w:t>
      </w:r>
      <w:r>
        <w:rPr>
          <w:rFonts w:hint="eastAsia" w:ascii="宋体" w:hAnsi="宋体" w:eastAsia="宋体" w:cs="宋体"/>
          <w:color w:val="auto"/>
          <w:sz w:val="21"/>
          <w:szCs w:val="21"/>
        </w:rPr>
        <w:t>号）规定的划分标准，本投标人为</w:t>
      </w:r>
      <w:r>
        <w:rPr>
          <w:rFonts w:hint="eastAsia" w:ascii="宋体" w:hAnsi="宋体" w:eastAsia="宋体" w:cs="宋体"/>
          <w:color w:val="auto"/>
          <w:sz w:val="21"/>
          <w:szCs w:val="21"/>
          <w:u w:val="single"/>
        </w:rPr>
        <w:t>  （填写“中型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2、本投标人参加贵单位组织的</w:t>
      </w:r>
      <w:r>
        <w:rPr>
          <w:rFonts w:hint="eastAsia" w:ascii="宋体" w:hAnsi="宋体" w:eastAsia="宋体" w:cs="宋体"/>
          <w:color w:val="auto"/>
          <w:sz w:val="21"/>
          <w:szCs w:val="21"/>
          <w:u w:val="single"/>
        </w:rPr>
        <w:t> （填写“项目名称”） </w:t>
      </w:r>
      <w:r>
        <w:rPr>
          <w:rFonts w:hint="eastAsia" w:ascii="宋体" w:hAnsi="宋体" w:eastAsia="宋体" w:cs="宋体"/>
          <w:color w:val="auto"/>
          <w:sz w:val="21"/>
          <w:szCs w:val="21"/>
        </w:rPr>
        <w:t>项目采购活动，其中：</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①货物（不包括使用大型企业注册商标的货物）：</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）提供本投标人制造的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货物；或</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）提供其他</w:t>
      </w:r>
      <w:r>
        <w:rPr>
          <w:rFonts w:hint="eastAsia" w:ascii="宋体" w:hAnsi="宋体" w:eastAsia="宋体" w:cs="宋体"/>
          <w:color w:val="auto"/>
          <w:sz w:val="21"/>
          <w:szCs w:val="21"/>
          <w:u w:val="single"/>
        </w:rPr>
        <w:t>（填写“中型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小型</w:t>
      </w:r>
      <w:r>
        <w:rPr>
          <w:rFonts w:hint="default" w:ascii="Calibri" w:hAnsi="Calibri" w:eastAsia="宋体" w:cs="Calibri"/>
          <w:color w:val="auto"/>
          <w:sz w:val="21"/>
          <w:szCs w:val="21"/>
          <w:u w:val="single"/>
        </w:rPr>
        <w:t>/</w:t>
      </w:r>
      <w:r>
        <w:rPr>
          <w:rFonts w:hint="eastAsia" w:ascii="宋体" w:hAnsi="宋体" w:eastAsia="宋体" w:cs="宋体"/>
          <w:color w:val="auto"/>
          <w:sz w:val="21"/>
          <w:szCs w:val="21"/>
          <w:u w:val="single"/>
        </w:rPr>
        <w:t>微型”）</w:t>
      </w:r>
      <w:r>
        <w:rPr>
          <w:rFonts w:hint="eastAsia" w:ascii="宋体" w:hAnsi="宋体" w:eastAsia="宋体" w:cs="宋体"/>
          <w:color w:val="auto"/>
          <w:sz w:val="21"/>
          <w:szCs w:val="21"/>
        </w:rPr>
        <w:t>企业制造的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②工程：</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）由本投标人承担的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工程。</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③服务：</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）由本投标人提供的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服务。</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本投标人对上述声明的真实性负责。如有虚假，将依法承担相应责任。</w:t>
      </w:r>
    </w:p>
    <w:p>
      <w:pPr>
        <w:pStyle w:val="6"/>
        <w:keepNext w:val="0"/>
        <w:keepLines w:val="0"/>
        <w:widowControl/>
        <w:suppressLineNumbers w:val="0"/>
        <w:spacing w:before="0" w:beforeAutospacing="0" w:after="150" w:afterAutospacing="0"/>
        <w:ind w:left="0" w:right="0" w:firstLine="42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1、请投标人按照实际情况编制填写本声明函，并在相应的（）中打“√”。</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2、投标人应认真对照《工业和信息化部、国家统计局、国家发展和改革委员会、财政部关于印发中小企业划型标准规定的通知》（工信部联企业</w:t>
      </w:r>
      <w:r>
        <w:rPr>
          <w:rFonts w:hint="default" w:ascii="Calibri" w:hAnsi="Calibri" w:eastAsia="宋体" w:cs="Calibri"/>
          <w:color w:val="auto"/>
          <w:sz w:val="21"/>
          <w:szCs w:val="21"/>
        </w:rPr>
        <w:t>[2011]300</w:t>
      </w:r>
      <w:r>
        <w:rPr>
          <w:rFonts w:hint="eastAsia" w:ascii="宋体" w:hAnsi="宋体" w:eastAsia="宋体" w:cs="宋体"/>
          <w:color w:val="auto"/>
          <w:sz w:val="21"/>
          <w:szCs w:val="21"/>
        </w:rPr>
        <w:t>号）规定的划分标准，并按照国家统计局现行的关于统计上大中小微型企业划分办法的有关规定准确划分企业类型。</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3、若《中小企业声明函》内容不真实，</w:t>
      </w:r>
      <w:r>
        <w:rPr>
          <w:rStyle w:val="9"/>
          <w:rFonts w:hint="eastAsia" w:ascii="宋体" w:hAnsi="宋体" w:eastAsia="宋体" w:cs="宋体"/>
          <w:b/>
          <w:color w:val="auto"/>
          <w:sz w:val="21"/>
          <w:szCs w:val="21"/>
        </w:rPr>
        <w:t>视为提供虚假材料</w:t>
      </w: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4、投标人为监狱企业的，可不填写本声明函。</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5、投标人为残疾人福利性单位的，可不填写本声明函。</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6、纸质投标文件正本中的本声明函（若有）应为原件。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1"/>
          <w:szCs w:val="21"/>
        </w:rPr>
        <w:t>三-2-③小型、微型企业等证明材料（价格扣除适用，若有）</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编制说明</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1、投标人应按照招标文件要求提供相应证明材料，证明材料应与《中小企业声明函》的内容相一致，否则视为《中小企业声明函》内容不真实。</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2、投标人为监狱企业的，根据其提供的由省级以上监狱管理局、戒毒管理局（含新疆生产建设兵团）出具的属于监狱企业的证明文件进行认定，监狱企业视同小型、微型企业。</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附：</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残疾人福利性单位声明函（价格扣除适用，若有）</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color w:val="auto"/>
          <w:sz w:val="21"/>
          <w:szCs w:val="21"/>
          <w:u w:val="single"/>
        </w:rPr>
        <w:t>（填写“项目名称”）</w:t>
      </w:r>
      <w:r>
        <w:rPr>
          <w:rFonts w:hint="eastAsia" w:ascii="宋体" w:hAnsi="宋体" w:eastAsia="宋体" w:cs="宋体"/>
          <w:color w:val="auto"/>
          <w:sz w:val="21"/>
          <w:szCs w:val="21"/>
        </w:rPr>
        <w:t>项目采购活动：</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）提供本投标人制造的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）由本投标人承担的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工程，</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）由本投标人提供的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服务；或</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）提供其他残疾人福利性单位制造的</w:t>
      </w:r>
      <w:r>
        <w:rPr>
          <w:rFonts w:hint="eastAsia" w:ascii="宋体" w:hAnsi="宋体" w:eastAsia="宋体" w:cs="宋体"/>
          <w:color w:val="auto"/>
          <w:sz w:val="21"/>
          <w:szCs w:val="21"/>
          <w:u w:val="single"/>
        </w:rPr>
        <w:t>（填写“所投合同包、品目号”）</w:t>
      </w:r>
      <w:r>
        <w:rPr>
          <w:rFonts w:hint="eastAsia" w:ascii="宋体" w:hAnsi="宋体" w:eastAsia="宋体" w:cs="宋体"/>
          <w:color w:val="auto"/>
          <w:sz w:val="21"/>
          <w:szCs w:val="21"/>
        </w:rPr>
        <w:t>货物（不包括使用非残疾人福利性单位注册商标的货物）。</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本投标人对上述声明的真实性负责。如有虚假，将依法承担相应责任。</w:t>
      </w:r>
    </w:p>
    <w:p>
      <w:pPr>
        <w:pStyle w:val="6"/>
        <w:keepNext w:val="0"/>
        <w:keepLines w:val="0"/>
        <w:widowControl/>
        <w:suppressLineNumbers w:val="0"/>
        <w:spacing w:before="0" w:beforeAutospacing="0" w:after="150" w:afterAutospacing="0"/>
        <w:ind w:left="0" w:right="0" w:firstLine="42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1、请投标人按照实际情况编制填写本声明函，并在相应的（）中打“√”。</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2、纸质投标文件正本中的本声明函（若有）应为原件。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3、若《残疾人福利性单位声明函》内容不真实，</w:t>
      </w:r>
      <w:r>
        <w:rPr>
          <w:rStyle w:val="9"/>
          <w:rFonts w:hint="eastAsia" w:ascii="宋体" w:hAnsi="宋体" w:eastAsia="宋体" w:cs="宋体"/>
          <w:b/>
          <w:color w:val="auto"/>
          <w:sz w:val="21"/>
          <w:szCs w:val="21"/>
        </w:rPr>
        <w:t>视为提供虚假材料</w:t>
      </w: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4、符合财政部、民政部、中国残联文件（财库</w:t>
      </w:r>
      <w:r>
        <w:rPr>
          <w:rFonts w:hint="default" w:ascii="Calibri" w:hAnsi="Calibri" w:eastAsia="宋体" w:cs="Calibri"/>
          <w:color w:val="auto"/>
          <w:sz w:val="21"/>
          <w:szCs w:val="21"/>
        </w:rPr>
        <w:t>[2017]141</w:t>
      </w:r>
      <w:r>
        <w:rPr>
          <w:rFonts w:hint="eastAsia" w:ascii="宋体" w:hAnsi="宋体" w:eastAsia="宋体" w:cs="宋体"/>
          <w:color w:val="auto"/>
          <w:sz w:val="21"/>
          <w:szCs w:val="21"/>
        </w:rPr>
        <w:t>号）规定的残疾人福利性单位提供本单位制造的货物、承担的工程或服务，或提供其他残疾人福利性单位制造的货物（不包括使用非残疾人福利性单位注册商标的货物）</w:t>
      </w:r>
      <w:r>
        <w:rPr>
          <w:rStyle w:val="9"/>
          <w:rFonts w:hint="eastAsia" w:ascii="宋体" w:hAnsi="宋体" w:eastAsia="宋体" w:cs="宋体"/>
          <w:b/>
          <w:color w:val="auto"/>
          <w:sz w:val="21"/>
          <w:szCs w:val="21"/>
        </w:rPr>
        <w:t>可享受价格扣除。</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default" w:ascii="Calibri" w:hAnsi="Calibri" w:cs="Calibri"/>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1"/>
          <w:szCs w:val="21"/>
        </w:rPr>
        <w:t>三-3招标文件规定的其他价格扣除证明材料（若有）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编制说明</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若投标人可享受招标文件规定的除</w:t>
      </w:r>
      <w:r>
        <w:rPr>
          <w:rStyle w:val="9"/>
          <w:rFonts w:hint="eastAsia" w:ascii="宋体" w:hAnsi="宋体" w:eastAsia="宋体" w:cs="宋体"/>
          <w:b/>
          <w:color w:val="auto"/>
          <w:sz w:val="21"/>
          <w:szCs w:val="21"/>
        </w:rPr>
        <w:t>“节能（非强制类）、环境标志产品价格扣除”及“小型、微型企业产品等价格扣除”</w:t>
      </w:r>
      <w:r>
        <w:rPr>
          <w:rFonts w:hint="eastAsia" w:ascii="宋体" w:hAnsi="宋体" w:eastAsia="宋体" w:cs="宋体"/>
          <w:color w:val="auto"/>
          <w:sz w:val="21"/>
          <w:szCs w:val="21"/>
        </w:rPr>
        <w:t>外的其他价格扣除优惠，则投标人应按照招标文件要求提供相应证明材料。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1"/>
          <w:szCs w:val="21"/>
        </w:rPr>
        <w:t>四、招标文件规定的加分证明材料（若有）</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四-1优先类节能产品、环境标志产品加分证明材料（若有）</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1"/>
          <w:szCs w:val="21"/>
        </w:rPr>
        <w:t>四-1-①优先类节能产品、环境标志产品统计表（加分适用，若有）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jc w:val="right"/>
        <w:rPr>
          <w:color w:val="auto"/>
        </w:rPr>
      </w:pPr>
      <w:r>
        <w:rPr>
          <w:rFonts w:hint="eastAsia" w:ascii="宋体" w:hAnsi="宋体" w:eastAsia="宋体" w:cs="宋体"/>
          <w:color w:val="auto"/>
          <w:sz w:val="21"/>
          <w:szCs w:val="21"/>
        </w:rPr>
        <w:t>货币及单位：人民币元</w:t>
      </w:r>
    </w:p>
    <w:tbl>
      <w:tblPr>
        <w:tblStyle w:val="7"/>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品目号</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货物名称</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单价</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数量</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总价</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（现场）</w:t>
            </w: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*-1</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备注</w:t>
            </w: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top"/>
          </w:tcPr>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a.合同包内属于节能、环境标志产品的报价总金额：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b.合同包投标总价（报价总金额）：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c.“合同包内属于节能、环境标志产品的报价总金额”占“合同包投标总价（报价总金额）”的比例（以</w:t>
            </w:r>
            <w:r>
              <w:rPr>
                <w:rFonts w:hint="default" w:ascii="Calibri" w:hAnsi="Calibri" w:eastAsia="宋体" w:cs="Calibri"/>
                <w:color w:val="auto"/>
                <w:sz w:val="21"/>
                <w:szCs w:val="21"/>
              </w:rPr>
              <w:t>%</w:t>
            </w:r>
            <w:r>
              <w:rPr>
                <w:rFonts w:hint="eastAsia" w:ascii="宋体" w:hAnsi="宋体" w:eastAsia="宋体" w:cs="宋体"/>
                <w:color w:val="auto"/>
                <w:sz w:val="21"/>
                <w:szCs w:val="21"/>
              </w:rPr>
              <w:t>列示）：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tc>
      </w:tr>
    </w:tbl>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1、对节能、环境标志产品计算加分时，只依据投标文件</w:t>
      </w:r>
      <w:r>
        <w:rPr>
          <w:rStyle w:val="9"/>
          <w:rFonts w:hint="eastAsia" w:ascii="宋体" w:hAnsi="宋体" w:eastAsia="宋体" w:cs="宋体"/>
          <w:b/>
          <w:color w:val="auto"/>
          <w:sz w:val="21"/>
          <w:szCs w:val="21"/>
        </w:rPr>
        <w:t>“四</w:t>
      </w:r>
      <w:r>
        <w:rPr>
          <w:rStyle w:val="9"/>
          <w:rFonts w:hint="default" w:ascii="Calibri" w:hAnsi="Calibri" w:eastAsia="宋体" w:cs="Calibri"/>
          <w:b/>
          <w:color w:val="auto"/>
          <w:sz w:val="21"/>
          <w:szCs w:val="21"/>
        </w:rPr>
        <w:t>-1-</w:t>
      </w:r>
      <w:r>
        <w:rPr>
          <w:rStyle w:val="9"/>
          <w:rFonts w:hint="eastAsia" w:ascii="宋体" w:hAnsi="宋体" w:eastAsia="宋体" w:cs="宋体"/>
          <w:b/>
          <w:color w:val="auto"/>
          <w:sz w:val="21"/>
          <w:szCs w:val="21"/>
        </w:rPr>
        <w:t>②优先类节能产品、环境标志产品加分证明材料（加分适用，若有）”。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2、本表以合同包为单位，不同合同包请分别填写；同一合同包请按照其品目号顺序分别填写。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3、具体统计、计算：</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3.1</w:t>
      </w:r>
      <w:r>
        <w:rPr>
          <w:rFonts w:hint="default" w:ascii="Calibri" w:hAnsi="Calibri" w:cs="Calibri"/>
          <w:color w:val="auto"/>
          <w:sz w:val="21"/>
          <w:szCs w:val="21"/>
        </w:rPr>
        <w:t> </w:t>
      </w:r>
      <w:r>
        <w:rPr>
          <w:rFonts w:hint="eastAsia" w:ascii="宋体" w:hAnsi="宋体" w:eastAsia="宋体" w:cs="宋体"/>
          <w:color w:val="auto"/>
          <w:sz w:val="21"/>
          <w:szCs w:val="21"/>
        </w:rPr>
        <w:t>若节能、环境标志产品仅是构成投标产品的部件、组件或零件，则该投标产品不享受鼓励优惠政策。同一品目中各认证证书不重复计算加分。强制类节能产品不享受加分。</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3.2计算结果若除不尽，可四舍五入保留到小数点后两位。</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3.3投标人应按照招标文件要求认真统计、计算，否则评标委员会不予认定。</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3.4若无节能、环境标志产品，不填写本表，否则，</w:t>
      </w:r>
      <w:r>
        <w:rPr>
          <w:rStyle w:val="9"/>
          <w:rFonts w:hint="eastAsia" w:ascii="宋体" w:hAnsi="宋体" w:eastAsia="宋体" w:cs="宋体"/>
          <w:b/>
          <w:color w:val="auto"/>
          <w:sz w:val="21"/>
          <w:szCs w:val="21"/>
        </w:rPr>
        <w:t>视为提供虚假材料</w:t>
      </w: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4、纸质投标文件正本中的本表（若有）应为原件。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default" w:ascii="Calibri" w:hAnsi="Calibri" w:cs="Calibri"/>
          <w:b/>
          <w:color w:val="auto"/>
          <w:sz w:val="21"/>
          <w:szCs w:val="21"/>
        </w:rPr>
        <w:br w:type="textWrapping"/>
      </w:r>
      <w:r>
        <w:rPr>
          <w:rStyle w:val="9"/>
          <w:rFonts w:hint="eastAsia" w:ascii="宋体" w:hAnsi="宋体" w:eastAsia="宋体" w:cs="宋体"/>
          <w:b/>
          <w:color w:val="auto"/>
          <w:sz w:val="21"/>
          <w:szCs w:val="21"/>
        </w:rPr>
        <w:t>四-1-②优先类节能产品、环境标志产品证明材料（加分适用，若有）</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Style w:val="9"/>
          <w:rFonts w:hint="eastAsia" w:ascii="宋体" w:hAnsi="宋体" w:eastAsia="宋体" w:cs="宋体"/>
          <w:b/>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编制说明</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除招标文件另有规定外，投标人应按照招标文件第二章（表1）第</w:t>
      </w:r>
      <w:r>
        <w:rPr>
          <w:rFonts w:hint="default" w:ascii="Calibri" w:hAnsi="Calibri" w:eastAsia="宋体" w:cs="Calibri"/>
          <w:color w:val="auto"/>
          <w:sz w:val="21"/>
          <w:szCs w:val="21"/>
        </w:rPr>
        <w:t>13</w:t>
      </w:r>
      <w:r>
        <w:rPr>
          <w:rFonts w:hint="eastAsia" w:ascii="宋体" w:hAnsi="宋体" w:eastAsia="宋体" w:cs="宋体"/>
          <w:color w:val="auto"/>
          <w:sz w:val="21"/>
          <w:szCs w:val="21"/>
        </w:rPr>
        <w:t>项规定提供相应证明材料。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Fonts w:hint="eastAsia" w:ascii="宋体" w:hAnsi="宋体" w:eastAsia="宋体" w:cs="宋体"/>
          <w:color w:val="auto"/>
          <w:sz w:val="21"/>
          <w:szCs w:val="21"/>
        </w:rPr>
        <w:t>四</w:t>
      </w:r>
      <w:r>
        <w:rPr>
          <w:rStyle w:val="9"/>
          <w:rFonts w:hint="eastAsia" w:ascii="宋体" w:hAnsi="宋体" w:eastAsia="宋体" w:cs="宋体"/>
          <w:b/>
          <w:color w:val="auto"/>
          <w:sz w:val="21"/>
          <w:szCs w:val="21"/>
        </w:rPr>
        <w:t>-2招标文件规定的其他加分证明材料（若有）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编制说明</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若投标人可享受招标文件规定的除</w:t>
      </w:r>
      <w:r>
        <w:rPr>
          <w:rStyle w:val="9"/>
          <w:rFonts w:hint="eastAsia" w:ascii="宋体" w:hAnsi="宋体" w:eastAsia="宋体" w:cs="宋体"/>
          <w:b/>
          <w:color w:val="auto"/>
          <w:sz w:val="21"/>
          <w:szCs w:val="21"/>
        </w:rPr>
        <w:t>“优先类节能产品、环境标志产品加分”</w:t>
      </w:r>
      <w:r>
        <w:rPr>
          <w:rFonts w:hint="eastAsia" w:ascii="宋体" w:hAnsi="宋体" w:eastAsia="宋体" w:cs="宋体"/>
          <w:color w:val="auto"/>
          <w:sz w:val="21"/>
          <w:szCs w:val="21"/>
        </w:rPr>
        <w:t>外的其他加分优惠，则投标人应按照招标文件要求提供相应证明材料。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28"/>
          <w:szCs w:val="28"/>
        </w:rPr>
        <w:t>封面格式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48"/>
          <w:szCs w:val="48"/>
        </w:rPr>
        <w:t>福建省政府采购投标文件</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48"/>
          <w:szCs w:val="48"/>
        </w:rPr>
        <w:t>（技术商务部分）</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36"/>
          <w:szCs w:val="36"/>
          <w:u w:val="single"/>
        </w:rPr>
        <w:t>（填写正本或副本）</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firstLine="1920"/>
        <w:rPr>
          <w:color w:val="auto"/>
        </w:rPr>
      </w:pPr>
      <w:r>
        <w:rPr>
          <w:rStyle w:val="9"/>
          <w:rFonts w:hint="eastAsia" w:ascii="宋体" w:hAnsi="宋体" w:eastAsia="宋体" w:cs="宋体"/>
          <w:b/>
          <w:color w:val="auto"/>
          <w:sz w:val="31"/>
          <w:szCs w:val="31"/>
        </w:rPr>
        <w:t>项目名称：</w:t>
      </w:r>
      <w:r>
        <w:rPr>
          <w:rStyle w:val="9"/>
          <w:rFonts w:hint="eastAsia" w:ascii="宋体" w:hAnsi="宋体" w:eastAsia="宋体" w:cs="宋体"/>
          <w:b/>
          <w:color w:val="auto"/>
          <w:sz w:val="31"/>
          <w:szCs w:val="31"/>
          <w:u w:val="single"/>
        </w:rPr>
        <w:t>（由投标人填写）</w:t>
      </w:r>
    </w:p>
    <w:p>
      <w:pPr>
        <w:pStyle w:val="6"/>
        <w:keepNext w:val="0"/>
        <w:keepLines w:val="0"/>
        <w:widowControl/>
        <w:suppressLineNumbers w:val="0"/>
        <w:spacing w:before="0" w:beforeAutospacing="0" w:after="150" w:afterAutospacing="0"/>
        <w:ind w:left="0" w:right="0" w:firstLine="1920"/>
        <w:rPr>
          <w:color w:val="auto"/>
        </w:rPr>
      </w:pPr>
      <w:r>
        <w:rPr>
          <w:rStyle w:val="9"/>
          <w:rFonts w:hint="eastAsia" w:ascii="宋体" w:hAnsi="宋体" w:eastAsia="宋体" w:cs="宋体"/>
          <w:b/>
          <w:color w:val="auto"/>
          <w:sz w:val="31"/>
          <w:szCs w:val="31"/>
        </w:rPr>
        <w:t>备案编号：</w:t>
      </w:r>
      <w:r>
        <w:rPr>
          <w:rStyle w:val="9"/>
          <w:rFonts w:hint="eastAsia" w:ascii="宋体" w:hAnsi="宋体" w:eastAsia="宋体" w:cs="宋体"/>
          <w:b/>
          <w:color w:val="auto"/>
          <w:sz w:val="31"/>
          <w:szCs w:val="31"/>
          <w:u w:val="single"/>
        </w:rPr>
        <w:t>（由投标人填写）</w:t>
      </w:r>
    </w:p>
    <w:p>
      <w:pPr>
        <w:pStyle w:val="6"/>
        <w:keepNext w:val="0"/>
        <w:keepLines w:val="0"/>
        <w:widowControl/>
        <w:suppressLineNumbers w:val="0"/>
        <w:spacing w:before="0" w:beforeAutospacing="0" w:after="150" w:afterAutospacing="0"/>
        <w:ind w:left="0" w:right="0" w:firstLine="1920"/>
        <w:rPr>
          <w:color w:val="auto"/>
        </w:rPr>
      </w:pPr>
      <w:r>
        <w:rPr>
          <w:rStyle w:val="9"/>
          <w:rFonts w:hint="eastAsia" w:ascii="宋体" w:hAnsi="宋体" w:eastAsia="宋体" w:cs="宋体"/>
          <w:b/>
          <w:color w:val="auto"/>
          <w:sz w:val="31"/>
          <w:szCs w:val="31"/>
        </w:rPr>
        <w:t>招标编号：</w:t>
      </w:r>
      <w:r>
        <w:rPr>
          <w:rStyle w:val="9"/>
          <w:rFonts w:hint="eastAsia" w:ascii="宋体" w:hAnsi="宋体" w:eastAsia="宋体" w:cs="宋体"/>
          <w:b/>
          <w:color w:val="auto"/>
          <w:sz w:val="31"/>
          <w:szCs w:val="31"/>
          <w:u w:val="single"/>
        </w:rPr>
        <w:t>（由投标人填写）</w:t>
      </w:r>
    </w:p>
    <w:p>
      <w:pPr>
        <w:pStyle w:val="6"/>
        <w:keepNext w:val="0"/>
        <w:keepLines w:val="0"/>
        <w:widowControl/>
        <w:suppressLineNumbers w:val="0"/>
        <w:spacing w:before="0" w:beforeAutospacing="0" w:after="150" w:afterAutospacing="0"/>
        <w:ind w:left="0" w:right="0" w:firstLine="1920"/>
        <w:rPr>
          <w:color w:val="auto"/>
        </w:rPr>
      </w:pPr>
      <w:r>
        <w:rPr>
          <w:rStyle w:val="9"/>
          <w:rFonts w:hint="eastAsia" w:ascii="宋体" w:hAnsi="宋体" w:eastAsia="宋体" w:cs="宋体"/>
          <w:b/>
          <w:color w:val="auto"/>
          <w:sz w:val="31"/>
          <w:szCs w:val="31"/>
        </w:rPr>
        <w:t>所投合同包：</w:t>
      </w:r>
      <w:r>
        <w:rPr>
          <w:rStyle w:val="9"/>
          <w:rFonts w:hint="eastAsia" w:ascii="宋体" w:hAnsi="宋体" w:eastAsia="宋体" w:cs="宋体"/>
          <w:b/>
          <w:color w:val="auto"/>
          <w:sz w:val="31"/>
          <w:szCs w:val="31"/>
          <w:u w:val="single"/>
        </w:rPr>
        <w:t>（由投标人填写）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36"/>
          <w:szCs w:val="36"/>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31"/>
          <w:szCs w:val="31"/>
        </w:rPr>
        <w:t>投标人：</w:t>
      </w:r>
      <w:r>
        <w:rPr>
          <w:rStyle w:val="9"/>
          <w:rFonts w:hint="eastAsia" w:ascii="宋体" w:hAnsi="宋体" w:eastAsia="宋体" w:cs="宋体"/>
          <w:b/>
          <w:color w:val="auto"/>
          <w:sz w:val="31"/>
          <w:szCs w:val="31"/>
          <w:u w:val="single"/>
        </w:rPr>
        <w:t>（填写“全称”）</w:t>
      </w:r>
    </w:p>
    <w:p>
      <w:pPr>
        <w:pStyle w:val="6"/>
        <w:keepNext w:val="0"/>
        <w:keepLines w:val="0"/>
        <w:widowControl/>
        <w:suppressLineNumbers w:val="0"/>
        <w:spacing w:before="0" w:beforeAutospacing="0" w:after="150" w:afterAutospacing="0"/>
        <w:ind w:left="0" w:right="0"/>
        <w:jc w:val="center"/>
        <w:rPr>
          <w:color w:val="auto"/>
        </w:rPr>
      </w:pPr>
      <w:r>
        <w:rPr>
          <w:rStyle w:val="9"/>
          <w:rFonts w:hint="eastAsia" w:ascii="宋体" w:hAnsi="宋体" w:eastAsia="宋体" w:cs="宋体"/>
          <w:b/>
          <w:color w:val="auto"/>
          <w:sz w:val="31"/>
          <w:szCs w:val="31"/>
          <w:u w:val="single"/>
        </w:rPr>
        <w:t>（由投标人填写）</w:t>
      </w:r>
      <w:r>
        <w:rPr>
          <w:rStyle w:val="9"/>
          <w:rFonts w:hint="eastAsia" w:ascii="宋体" w:hAnsi="宋体" w:eastAsia="宋体" w:cs="宋体"/>
          <w:b/>
          <w:color w:val="auto"/>
          <w:sz w:val="31"/>
          <w:szCs w:val="31"/>
        </w:rPr>
        <w:t>年</w:t>
      </w:r>
      <w:r>
        <w:rPr>
          <w:rStyle w:val="9"/>
          <w:rFonts w:hint="eastAsia" w:ascii="宋体" w:hAnsi="宋体" w:eastAsia="宋体" w:cs="宋体"/>
          <w:b/>
          <w:color w:val="auto"/>
          <w:sz w:val="31"/>
          <w:szCs w:val="31"/>
          <w:u w:val="single"/>
        </w:rPr>
        <w:t>（由投标人填写）</w:t>
      </w:r>
      <w:r>
        <w:rPr>
          <w:rStyle w:val="9"/>
          <w:rFonts w:hint="eastAsia" w:ascii="宋体" w:hAnsi="宋体" w:eastAsia="宋体" w:cs="宋体"/>
          <w:b/>
          <w:color w:val="auto"/>
          <w:sz w:val="31"/>
          <w:szCs w:val="31"/>
        </w:rPr>
        <w:t>月</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8"/>
          <w:szCs w:val="28"/>
        </w:rPr>
        <w:t>索引</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一、标的说明一览表</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二、技术和服务要求响应表</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三、商务条件响应表</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8"/>
          <w:szCs w:val="28"/>
        </w:rPr>
        <w:t>四、投标人提交的其他资料（若有）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技术商务部分中不得出现报价部分的全部或部分的投标报价信息（或组成资料），否则</w:t>
      </w:r>
      <w:r>
        <w:rPr>
          <w:rStyle w:val="9"/>
          <w:rFonts w:hint="eastAsia" w:ascii="宋体" w:hAnsi="宋体" w:eastAsia="宋体" w:cs="宋体"/>
          <w:b/>
          <w:color w:val="auto"/>
          <w:sz w:val="21"/>
          <w:szCs w:val="21"/>
        </w:rPr>
        <w:t>符合性审查不合格</w:t>
      </w: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firstLine="42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1"/>
          <w:szCs w:val="21"/>
        </w:rPr>
        <w:t>一、标的说明一览表</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tbl>
      <w:tblPr>
        <w:tblStyle w:val="7"/>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59"/>
        <w:gridCol w:w="855"/>
        <w:gridCol w:w="1695"/>
        <w:gridCol w:w="855"/>
        <w:gridCol w:w="1140"/>
        <w:gridCol w:w="1140"/>
        <w:gridCol w:w="18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59"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品目号</w:t>
            </w:r>
          </w:p>
        </w:tc>
        <w:tc>
          <w:tcPr>
            <w:tcW w:w="169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投标标的</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数量</w:t>
            </w: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规格</w:t>
            </w: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来源地</w:t>
            </w:r>
          </w:p>
        </w:tc>
        <w:tc>
          <w:tcPr>
            <w:tcW w:w="1876"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959"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*-1</w:t>
            </w:r>
          </w:p>
        </w:tc>
        <w:tc>
          <w:tcPr>
            <w:tcW w:w="16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76"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959"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16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76"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959"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6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76"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bl>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1、本表应按照下列规定填写：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1.1“合同包”、“品目号”、“投标标的”及“数量”应与招标文件《采购标的一览表》中的有关内容（“合同包”、“品目号”、“采购标的”及“数量”）保持一致。</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1.2“投标标的”为货物的：</w:t>
      </w:r>
      <w:r>
        <w:rPr>
          <w:rStyle w:val="9"/>
          <w:rFonts w:hint="eastAsia" w:ascii="宋体" w:hAnsi="宋体" w:eastAsia="宋体" w:cs="宋体"/>
          <w:b/>
          <w:color w:val="auto"/>
          <w:sz w:val="21"/>
          <w:szCs w:val="21"/>
        </w:rPr>
        <w:t>“规格”</w:t>
      </w:r>
      <w:r>
        <w:rPr>
          <w:rFonts w:hint="eastAsia" w:ascii="宋体" w:hAnsi="宋体" w:eastAsia="宋体" w:cs="宋体"/>
          <w:color w:val="auto"/>
          <w:sz w:val="21"/>
          <w:szCs w:val="21"/>
        </w:rPr>
        <w:t>项下应填写货物制造厂商赋予的品牌（属于节能、环保清单产品的货物，填写的品牌名称应与清单载明的品牌名称保持一致）及具体型号。</w:t>
      </w:r>
      <w:r>
        <w:rPr>
          <w:rStyle w:val="9"/>
          <w:rFonts w:hint="eastAsia" w:ascii="宋体" w:hAnsi="宋体" w:eastAsia="宋体" w:cs="宋体"/>
          <w:b/>
          <w:color w:val="auto"/>
          <w:sz w:val="21"/>
          <w:szCs w:val="21"/>
        </w:rPr>
        <w:t>“来源地”</w:t>
      </w:r>
      <w:r>
        <w:rPr>
          <w:rFonts w:hint="eastAsia" w:ascii="宋体" w:hAnsi="宋体" w:eastAsia="宋体" w:cs="宋体"/>
          <w:color w:val="auto"/>
          <w:sz w:val="21"/>
          <w:szCs w:val="21"/>
        </w:rPr>
        <w:t>应填写货物的原产地。</w:t>
      </w:r>
      <w:r>
        <w:rPr>
          <w:rStyle w:val="9"/>
          <w:rFonts w:hint="eastAsia" w:ascii="宋体" w:hAnsi="宋体" w:eastAsia="宋体" w:cs="宋体"/>
          <w:b/>
          <w:color w:val="auto"/>
          <w:sz w:val="21"/>
          <w:szCs w:val="21"/>
        </w:rPr>
        <w:t>“备注”</w:t>
      </w:r>
      <w:r>
        <w:rPr>
          <w:rFonts w:hint="eastAsia" w:ascii="宋体" w:hAnsi="宋体" w:eastAsia="宋体" w:cs="宋体"/>
          <w:color w:val="auto"/>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1.3“投标标的”为服务的：</w:t>
      </w:r>
      <w:r>
        <w:rPr>
          <w:rStyle w:val="9"/>
          <w:rFonts w:hint="eastAsia" w:ascii="宋体" w:hAnsi="宋体" w:eastAsia="宋体" w:cs="宋体"/>
          <w:b/>
          <w:color w:val="auto"/>
          <w:sz w:val="21"/>
          <w:szCs w:val="21"/>
        </w:rPr>
        <w:t>“规格”</w:t>
      </w:r>
      <w:r>
        <w:rPr>
          <w:rFonts w:hint="eastAsia" w:ascii="宋体" w:hAnsi="宋体" w:eastAsia="宋体" w:cs="宋体"/>
          <w:color w:val="auto"/>
          <w:sz w:val="21"/>
          <w:szCs w:val="21"/>
        </w:rPr>
        <w:t>项下应填写服务提供者提供的服务标准及品牌（若有）。</w:t>
      </w:r>
      <w:r>
        <w:rPr>
          <w:rStyle w:val="9"/>
          <w:rFonts w:hint="eastAsia" w:ascii="宋体" w:hAnsi="宋体" w:eastAsia="宋体" w:cs="宋体"/>
          <w:b/>
          <w:color w:val="auto"/>
          <w:sz w:val="21"/>
          <w:szCs w:val="21"/>
        </w:rPr>
        <w:t>“来源地”</w:t>
      </w:r>
      <w:r>
        <w:rPr>
          <w:rFonts w:hint="eastAsia" w:ascii="宋体" w:hAnsi="宋体" w:eastAsia="宋体" w:cs="宋体"/>
          <w:color w:val="auto"/>
          <w:sz w:val="21"/>
          <w:szCs w:val="21"/>
        </w:rPr>
        <w:t>应填写服务提供者的所在地。</w:t>
      </w:r>
      <w:r>
        <w:rPr>
          <w:rStyle w:val="9"/>
          <w:rFonts w:hint="eastAsia" w:ascii="宋体" w:hAnsi="宋体" w:eastAsia="宋体" w:cs="宋体"/>
          <w:b/>
          <w:color w:val="auto"/>
          <w:sz w:val="21"/>
          <w:szCs w:val="21"/>
        </w:rPr>
        <w:t>“备注”</w:t>
      </w:r>
      <w:r>
        <w:rPr>
          <w:rFonts w:hint="eastAsia" w:ascii="宋体" w:hAnsi="宋体" w:eastAsia="宋体" w:cs="宋体"/>
          <w:color w:val="auto"/>
          <w:sz w:val="21"/>
          <w:szCs w:val="21"/>
        </w:rPr>
        <w:t>项下应填写关于服务标准所涵盖的具体项目或内容的说明等。</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2、投标人需要说明的内容若需特殊表达，应先在本表中进行相应说明，再另页应答，否则</w:t>
      </w:r>
      <w:r>
        <w:rPr>
          <w:rStyle w:val="9"/>
          <w:rFonts w:hint="eastAsia" w:ascii="宋体" w:hAnsi="宋体" w:eastAsia="宋体" w:cs="宋体"/>
          <w:b/>
          <w:color w:val="auto"/>
          <w:sz w:val="21"/>
          <w:szCs w:val="21"/>
        </w:rPr>
        <w:t>投标无效</w:t>
      </w: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3、投标文件中涉及</w:t>
      </w:r>
      <w:r>
        <w:rPr>
          <w:rStyle w:val="9"/>
          <w:rFonts w:hint="eastAsia" w:ascii="宋体" w:hAnsi="宋体" w:eastAsia="宋体" w:cs="宋体"/>
          <w:b/>
          <w:color w:val="auto"/>
          <w:sz w:val="21"/>
          <w:szCs w:val="21"/>
        </w:rPr>
        <w:t>“投标标的”、“数量”、“规格”、“来源地”</w:t>
      </w:r>
      <w:r>
        <w:rPr>
          <w:rFonts w:hint="eastAsia" w:ascii="宋体" w:hAnsi="宋体" w:eastAsia="宋体" w:cs="宋体"/>
          <w:color w:val="auto"/>
          <w:sz w:val="21"/>
          <w:szCs w:val="21"/>
        </w:rPr>
        <w:t>的内容若不一致，</w:t>
      </w:r>
      <w:r>
        <w:rPr>
          <w:rStyle w:val="9"/>
          <w:rFonts w:hint="eastAsia" w:ascii="宋体" w:hAnsi="宋体" w:eastAsia="宋体" w:cs="宋体"/>
          <w:b/>
          <w:color w:val="auto"/>
          <w:sz w:val="21"/>
          <w:szCs w:val="21"/>
        </w:rPr>
        <w:t>应以本表为准</w:t>
      </w: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4、纸质投标文件正本中的本表应为原件。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Style w:val="9"/>
          <w:rFonts w:hint="default" w:ascii="Calibri" w:hAnsi="Calibri" w:cs="Calibri"/>
          <w:b/>
          <w:color w:val="auto"/>
          <w:sz w:val="21"/>
          <w:szCs w:val="21"/>
        </w:rPr>
        <w:br w:type="textWrapping"/>
      </w:r>
      <w:r>
        <w:rPr>
          <w:rStyle w:val="9"/>
          <w:rFonts w:hint="eastAsia" w:ascii="宋体" w:hAnsi="宋体" w:eastAsia="宋体" w:cs="宋体"/>
          <w:b/>
          <w:color w:val="auto"/>
          <w:sz w:val="21"/>
          <w:szCs w:val="21"/>
        </w:rPr>
        <w:t>二、技术和服务要求响应表</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tbl>
      <w:tblPr>
        <w:tblStyle w:val="7"/>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60"/>
        <w:gridCol w:w="855"/>
        <w:gridCol w:w="2970"/>
        <w:gridCol w:w="1845"/>
        <w:gridCol w:w="18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rHeight w:val="255" w:hRule="atLeast"/>
        </w:trPr>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品目号</w:t>
            </w: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技术和服务要求</w:t>
            </w: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投标响应</w:t>
            </w: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*-1</w:t>
            </w:r>
          </w:p>
        </w:tc>
        <w:tc>
          <w:tcPr>
            <w:tcW w:w="29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29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bl>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1、本表应按照下列规定填写：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1.1“技术和服务要求”项下填写的内容应与招标文件第五章“技术和服务要求”的内容保持一致。</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1.2“投标响应”项下应填写具体的响应内容并与“技术和服务要求”项下填写的内容逐项对应；对“技术和服务要求”项下涉及“≥或＞”、“≤或＜”及某个区间值范围内的内容，应填写具体的数值。</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1.3“是否偏离及说明”项下应按下列规定填写：优于的，填写“正偏离”；符合的，填写“无偏离”；低于的，填写“负偏离”。</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2、投标人需要说明的内容若需特殊表达，应先在本表中进行相应说明，再    另页应答，否则</w:t>
      </w:r>
      <w:r>
        <w:rPr>
          <w:rStyle w:val="9"/>
          <w:rFonts w:hint="eastAsia" w:ascii="宋体" w:hAnsi="宋体" w:eastAsia="宋体" w:cs="宋体"/>
          <w:b/>
          <w:color w:val="auto"/>
          <w:sz w:val="21"/>
          <w:szCs w:val="21"/>
        </w:rPr>
        <w:t>投标无效</w:t>
      </w: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3、纸质投标文件正本中的本表应为原件。</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br w:type="textWrapping"/>
      </w:r>
      <w:r>
        <w:rPr>
          <w:rStyle w:val="9"/>
          <w:rFonts w:hint="eastAsia" w:ascii="宋体" w:hAnsi="宋体" w:eastAsia="宋体" w:cs="宋体"/>
          <w:b/>
          <w:color w:val="auto"/>
          <w:sz w:val="21"/>
          <w:szCs w:val="21"/>
        </w:rPr>
        <w:t>三、商务条件响应表</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tbl>
      <w:tblPr>
        <w:tblStyle w:val="7"/>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60"/>
        <w:gridCol w:w="855"/>
        <w:gridCol w:w="2970"/>
        <w:gridCol w:w="1845"/>
        <w:gridCol w:w="18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合同包</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品目号</w:t>
            </w: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商务条件</w:t>
            </w: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投标响应</w:t>
            </w: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*-1</w:t>
            </w:r>
          </w:p>
        </w:tc>
        <w:tc>
          <w:tcPr>
            <w:tcW w:w="29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color w:val="auto"/>
                <w:sz w:val="24"/>
                <w:szCs w:val="24"/>
              </w:rPr>
            </w:pP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29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jc w:val="left"/>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6"/>
              <w:keepNext w:val="0"/>
              <w:keepLines w:val="0"/>
              <w:widowControl/>
              <w:suppressLineNumbers w:val="0"/>
              <w:spacing w:before="0" w:beforeAutospacing="0" w:after="150" w:afterAutospacing="0"/>
              <w:ind w:left="0" w:right="0"/>
              <w:jc w:val="center"/>
              <w:rPr>
                <w:color w:val="auto"/>
              </w:rPr>
            </w:pPr>
            <w:r>
              <w:rPr>
                <w:rFonts w:hint="default" w:ascii="Calibri" w:hAnsi="Calibri" w:cs="Calibri"/>
                <w:color w:val="auto"/>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rPr>
                <w:color w:val="auto"/>
              </w:rPr>
            </w:pPr>
          </w:p>
        </w:tc>
      </w:tr>
    </w:tbl>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★注意：</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1、本表应按照下列规定填写：</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1.1“商务条件”项下填写的内容应与招标文件第五章“商务条件”的内容保持一致。</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1.2“投标响应”项下应填写具体的响应内容并与“商务条件”项下填写的内容逐项对应；对“商务条件”项下涉及“≥或＞”、“≤或＜”及某个区间值范围内的内容，应填写具体的数值。</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1.3“是否偏离及说明”项下应按下列规定填写：优于的，填写“正偏离”；符合的，填写“无偏离”；低于的，填写“负偏离”。</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2、投标人需要说明的内容若需特殊表达，应先在本表中进行相应说明，再另页应答，否则</w:t>
      </w:r>
      <w:r>
        <w:rPr>
          <w:rStyle w:val="9"/>
          <w:rFonts w:hint="eastAsia" w:ascii="宋体" w:hAnsi="宋体" w:eastAsia="宋体" w:cs="宋体"/>
          <w:b/>
          <w:color w:val="auto"/>
          <w:sz w:val="21"/>
          <w:szCs w:val="21"/>
        </w:rPr>
        <w:t>投标无效</w:t>
      </w:r>
      <w:r>
        <w:rPr>
          <w:rFonts w:hint="eastAsia" w:ascii="宋体" w:hAnsi="宋体" w:eastAsia="宋体" w:cs="宋体"/>
          <w:color w:val="auto"/>
          <w:sz w:val="21"/>
          <w:szCs w:val="21"/>
        </w:rPr>
        <w:t>。</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3、纸质投标文件正本中的本表应为原件。</w:t>
      </w:r>
    </w:p>
    <w:p>
      <w:pPr>
        <w:pStyle w:val="6"/>
        <w:keepNext w:val="0"/>
        <w:keepLines w:val="0"/>
        <w:widowControl/>
        <w:suppressLineNumbers w:val="0"/>
        <w:spacing w:before="0" w:beforeAutospacing="0" w:after="150" w:afterAutospacing="0"/>
        <w:ind w:left="0" w:right="0"/>
        <w:rPr>
          <w:color w:val="auto"/>
        </w:rPr>
      </w:pP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（全称并加盖单位公章）</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投标人代表签字：</w:t>
      </w:r>
      <w:r>
        <w:rPr>
          <w:rFonts w:hint="eastAsia" w:ascii="宋体" w:hAnsi="宋体" w:eastAsia="宋体" w:cs="宋体"/>
          <w:color w:val="auto"/>
          <w:sz w:val="21"/>
          <w:szCs w:val="21"/>
          <w:u w:val="single"/>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br w:type="textWrapping"/>
      </w:r>
      <w:r>
        <w:rPr>
          <w:rStyle w:val="9"/>
          <w:rFonts w:hint="eastAsia" w:ascii="宋体" w:hAnsi="宋体" w:eastAsia="宋体" w:cs="宋体"/>
          <w:b/>
          <w:color w:val="auto"/>
          <w:sz w:val="21"/>
          <w:szCs w:val="21"/>
        </w:rPr>
        <w:t>四、投标人提交的其他资料（若有）</w:t>
      </w:r>
    </w:p>
    <w:p>
      <w:pPr>
        <w:pStyle w:val="6"/>
        <w:keepNext w:val="0"/>
        <w:keepLines w:val="0"/>
        <w:widowControl/>
        <w:suppressLineNumbers w:val="0"/>
        <w:spacing w:before="0" w:beforeAutospacing="0" w:after="150" w:afterAutospacing="0"/>
        <w:ind w:left="0" w:right="0"/>
        <w:jc w:val="center"/>
        <w:rPr>
          <w:color w:val="auto"/>
        </w:rPr>
      </w:pPr>
      <w:r>
        <w:rPr>
          <w:rFonts w:hint="eastAsia" w:ascii="宋体" w:hAnsi="宋体" w:eastAsia="宋体" w:cs="宋体"/>
          <w:color w:val="auto"/>
          <w:sz w:val="21"/>
          <w:szCs w:val="21"/>
        </w:rPr>
        <w:t>编制说明</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 </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1、招标文件要求提交的除</w:t>
      </w:r>
      <w:r>
        <w:rPr>
          <w:rStyle w:val="9"/>
          <w:rFonts w:hint="eastAsia" w:ascii="宋体" w:hAnsi="宋体" w:eastAsia="宋体" w:cs="宋体"/>
          <w:b/>
          <w:color w:val="auto"/>
          <w:sz w:val="21"/>
          <w:szCs w:val="21"/>
        </w:rPr>
        <w:t>“资格及资信证明部分”、“报价部分”</w:t>
      </w:r>
      <w:r>
        <w:rPr>
          <w:rFonts w:hint="eastAsia" w:ascii="宋体" w:hAnsi="宋体" w:eastAsia="宋体" w:cs="宋体"/>
          <w:color w:val="auto"/>
          <w:sz w:val="21"/>
          <w:szCs w:val="21"/>
        </w:rPr>
        <w:t>外的其他证明材料或资料加盖投标人的单位公章后应在此项下提交。</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2、招标文件要求投标人提供方案（包括但不限于：组织、实施、技术、服务方案等）的，投标人应在此项下提交。</w:t>
      </w:r>
    </w:p>
    <w:p>
      <w:pPr>
        <w:pStyle w:val="6"/>
        <w:keepNext w:val="0"/>
        <w:keepLines w:val="0"/>
        <w:widowControl/>
        <w:suppressLineNumbers w:val="0"/>
        <w:spacing w:before="0" w:beforeAutospacing="0" w:after="150" w:afterAutospacing="0"/>
        <w:ind w:left="0" w:right="0"/>
        <w:rPr>
          <w:color w:val="auto"/>
        </w:rPr>
      </w:pPr>
      <w:r>
        <w:rPr>
          <w:rFonts w:hint="eastAsia" w:ascii="宋体" w:hAnsi="宋体" w:eastAsia="宋体" w:cs="宋体"/>
          <w:color w:val="auto"/>
          <w:sz w:val="21"/>
          <w:szCs w:val="21"/>
        </w:rPr>
        <w:t>3、除招标文件另有规定外，投标人认为需要提交的其他证明材料或资料加盖投标人的单位公章后应在此项下提交。</w:t>
      </w:r>
    </w:p>
    <w:p>
      <w:pPr>
        <w:pStyle w:val="2"/>
        <w:keepNext w:val="0"/>
        <w:keepLines w:val="0"/>
        <w:widowControl/>
        <w:suppressLineNumbers w:val="0"/>
        <w:shd w:val="clear" w:fill="FFFFFF"/>
        <w:spacing w:before="300" w:beforeAutospacing="0" w:after="150" w:afterAutospacing="0" w:line="17" w:lineRule="atLeast"/>
        <w:ind w:left="0" w:firstLine="0"/>
        <w:rPr>
          <w:rFonts w:ascii="Helvetica" w:hAnsi="Helvetica" w:eastAsia="Helvetica" w:cs="Helvetica"/>
          <w:b w:val="0"/>
          <w:i w:val="0"/>
          <w:caps w:val="0"/>
          <w:color w:val="auto"/>
          <w:spacing w:val="0"/>
          <w:sz w:val="33"/>
          <w:szCs w:val="33"/>
        </w:rPr>
      </w:pPr>
      <w:r>
        <w:rPr>
          <w:rFonts w:hint="default" w:ascii="Helvetica" w:hAnsi="Helvetica" w:eastAsia="Helvetica" w:cs="Helvetica"/>
          <w:b w:val="0"/>
          <w:i w:val="0"/>
          <w:caps w:val="0"/>
          <w:color w:val="auto"/>
          <w:spacing w:val="0"/>
          <w:sz w:val="33"/>
          <w:szCs w:val="33"/>
          <w:shd w:val="clear" w:fill="FFFFFF"/>
        </w:rPr>
        <w:t>采购文件相关附件</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ascii="宋体" w:hAnsi="宋体"/>
        <w:kern w:val="0"/>
        <w:sz w:val="21"/>
        <w:szCs w:val="21"/>
      </w:rPr>
      <w:t xml:space="preserve">第 </w:t>
    </w:r>
    <w:r>
      <w:rPr>
        <w:rFonts w:hint="eastAsia" w:ascii="宋体" w:hAnsi="宋体"/>
        <w:kern w:val="0"/>
        <w:sz w:val="21"/>
        <w:szCs w:val="21"/>
      </w:rPr>
      <w:fldChar w:fldCharType="begin"/>
    </w:r>
    <w:r>
      <w:rPr>
        <w:rFonts w:hint="eastAsia" w:ascii="宋体" w:hAnsi="宋体"/>
        <w:kern w:val="0"/>
        <w:sz w:val="21"/>
        <w:szCs w:val="21"/>
      </w:rPr>
      <w:instrText xml:space="preserve"> PAGE </w:instrText>
    </w:r>
    <w:r>
      <w:rPr>
        <w:rFonts w:hint="eastAsia" w:ascii="宋体" w:hAnsi="宋体"/>
        <w:kern w:val="0"/>
        <w:sz w:val="21"/>
        <w:szCs w:val="21"/>
      </w:rPr>
      <w:fldChar w:fldCharType="separate"/>
    </w:r>
    <w:r>
      <w:rPr>
        <w:rFonts w:ascii="宋体" w:hAnsi="宋体"/>
        <w:kern w:val="0"/>
        <w:sz w:val="21"/>
        <w:szCs w:val="21"/>
      </w:rPr>
      <w:t>1</w:t>
    </w:r>
    <w:r>
      <w:rPr>
        <w:rFonts w:hint="eastAsia" w:ascii="宋体" w:hAnsi="宋体"/>
        <w:kern w:val="0"/>
        <w:sz w:val="21"/>
        <w:szCs w:val="21"/>
      </w:rPr>
      <w:fldChar w:fldCharType="end"/>
    </w:r>
    <w:r>
      <w:rPr>
        <w:rFonts w:hint="eastAsia" w:ascii="宋体" w:hAnsi="宋体"/>
        <w:kern w:val="0"/>
        <w:sz w:val="21"/>
        <w:szCs w:val="21"/>
      </w:rPr>
      <w:t xml:space="preserve"> 页 共 </w:t>
    </w:r>
    <w:r>
      <w:rPr>
        <w:rFonts w:hint="eastAsia" w:ascii="宋体" w:hAnsi="宋体"/>
        <w:kern w:val="0"/>
        <w:sz w:val="21"/>
        <w:szCs w:val="21"/>
      </w:rPr>
      <w:fldChar w:fldCharType="begin"/>
    </w:r>
    <w:r>
      <w:rPr>
        <w:rFonts w:hint="eastAsia" w:ascii="宋体" w:hAnsi="宋体"/>
        <w:kern w:val="0"/>
        <w:sz w:val="21"/>
        <w:szCs w:val="21"/>
      </w:rPr>
      <w:instrText xml:space="preserve"> NUMPAGES </w:instrText>
    </w:r>
    <w:r>
      <w:rPr>
        <w:rFonts w:hint="eastAsia" w:ascii="宋体" w:hAnsi="宋体"/>
        <w:kern w:val="0"/>
        <w:sz w:val="21"/>
        <w:szCs w:val="21"/>
      </w:rPr>
      <w:fldChar w:fldCharType="separate"/>
    </w:r>
    <w:r>
      <w:rPr>
        <w:rFonts w:ascii="宋体" w:hAnsi="宋体"/>
        <w:kern w:val="0"/>
        <w:sz w:val="21"/>
        <w:szCs w:val="21"/>
      </w:rPr>
      <w:t>86</w:t>
    </w:r>
    <w:r>
      <w:rPr>
        <w:rFonts w:hint="eastAsia" w:ascii="宋体" w:hAnsi="宋体"/>
        <w:kern w:val="0"/>
        <w:sz w:val="21"/>
        <w:szCs w:val="21"/>
      </w:rPr>
      <w:fldChar w:fldCharType="end"/>
    </w:r>
    <w:r>
      <w:rPr>
        <w:rFonts w:hint="eastAsia" w:ascii="宋体" w:hAnsi="宋体"/>
        <w:kern w:val="0"/>
        <w:sz w:val="21"/>
        <w:szCs w:val="21"/>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5BF5D8"/>
    <w:multiLevelType w:val="singleLevel"/>
    <w:tmpl w:val="E95BF5D8"/>
    <w:lvl w:ilvl="0" w:tentative="0">
      <w:start w:val="1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76144E"/>
    <w:rsid w:val="01B16FA2"/>
    <w:rsid w:val="1EDF174E"/>
    <w:rsid w:val="22D959D1"/>
    <w:rsid w:val="33124270"/>
    <w:rsid w:val="39764752"/>
    <w:rsid w:val="45F0452D"/>
    <w:rsid w:val="596A5ADA"/>
    <w:rsid w:val="5E722A57"/>
    <w:rsid w:val="662D0CC5"/>
    <w:rsid w:val="6C76144E"/>
    <w:rsid w:val="7FDC2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2019-03-22T08:46:00Z</dcterms:created>
  <dc:creator>admin</dc:creator>
  <cp:lastModifiedBy>admin</cp:lastModifiedBy>
  <dcterms:modified xsi:type="dcterms:W3CDTF">2019-03-25T03:52:13Z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