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/>
          <w:sz w:val="36"/>
          <w:szCs w:val="36"/>
        </w:rPr>
        <w:t>非接触式全自动超声破碎仪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一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、技术参数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1.工作条件：电源AC 220V (±10%)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温度 25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℃</w:t>
      </w:r>
      <w:r>
        <w:rPr>
          <w:rFonts w:hint="eastAsia" w:ascii="仿宋_GB2312" w:hAnsi="仿宋_GB2312" w:eastAsia="仿宋_GB2312" w:cs="仿宋_GB2312"/>
          <w:sz w:val="32"/>
          <w:szCs w:val="32"/>
        </w:rPr>
        <w:t>（±1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）；湿度≦80%；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免疫共沉淀CHIP样品处理，组织破碎和均质化、代谢物和总蛋白提取、DNA片段化、RNA提取、纳米颗粒形成---微粉化、染色质剪切、细胞、孢子和细胞器裂解、化合物溶解和制备、配方设计、药物的吸收、分布、代谢、排泄/毒物提取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超声样本体积：搭配不同适配器, 超声样本体积可达20ml以上(搭配50ml适配器) 或10ul以下 (搭配0.5ml适配器)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</w:rPr>
        <w:t>适用之样本型式: 适用样本管形式包括 0.5ml、1.5ml、15ml及50ml 离心管, 不需使用特殊材质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如玻璃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的耗材, 节省实验成本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样本需在密闭容器下进行破碎动作, 不产生感染性飞雾, 不需额外插入超声波探头；一次最多可处理12个样本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.1容许单次操作数量:12个样本 (搭配0.5ml适配器)，6个样本 (搭配1.5ml适配器)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样本超声时需能自动定速持续旋转, 确保样本破碎效果达到一致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</w:rPr>
        <w:t>样本破碎方式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利用 ACT (Adaptive Cavitation Transfer) 超声技术破碎样本或者其它方式, 核酸样本破碎大小范围 1kb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-</w:t>
      </w:r>
      <w:r>
        <w:rPr>
          <w:rFonts w:hint="eastAsia" w:ascii="仿宋_GB2312" w:hAnsi="仿宋_GB2312" w:eastAsia="仿宋_GB2312" w:cs="仿宋_GB2312"/>
          <w:sz w:val="32"/>
          <w:szCs w:val="32"/>
        </w:rPr>
        <w:t>200bp 或更小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sz w:val="32"/>
          <w:szCs w:val="32"/>
        </w:rPr>
        <w:t>仪器含一组1.5ml适配器;可同时至少使用6个1.5ml离心管, 单一样本体积可介于100µl ~ 300µl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sz w:val="32"/>
          <w:szCs w:val="32"/>
        </w:rPr>
        <w:t>超声功率/时间调节配件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超声波开/关双定时器：数码式自动控制超声波开/关次数, 可设定时范围为1-99循环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</w:rPr>
        <w:t>.2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超声波震波输出功率：为L,H可调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</w:rPr>
        <w:t>具多功能定时器：样本超声启动/暂停定时器：可设定范围为1-9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秒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sz w:val="32"/>
          <w:szCs w:val="32"/>
        </w:rPr>
        <w:t>具电磁阀式冷却循环机, 可与超声波主机连动, 当超声波启动时, 冷却系统暂停循环, 超声波暂停时, 冷却系统启动, 不干扰超声效率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</w:rPr>
        <w:t>电磁阀式冷却循环机，具仪器过热自动停机保护装置, 具仪器使用状态监控装置, 具开机运转自我状态检测装置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透过电磁阀与主机间的讯号传递, 可与超声波主机连动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温控范围: -20℃ to 40℃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14.</w:t>
      </w:r>
      <w:r>
        <w:rPr>
          <w:rFonts w:hint="eastAsia" w:ascii="仿宋_GB2312" w:hAnsi="仿宋_GB2312" w:eastAsia="仿宋_GB2312" w:cs="仿宋_GB2312"/>
          <w:sz w:val="32"/>
          <w:szCs w:val="32"/>
        </w:rPr>
        <w:t>在-10℃的温度稳定性 : ≤0.2K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</w:rPr>
        <w:t>冷却能力15℃: 300 Watts; 0℃: 200 Watts; -10℃: 140 Watts; -20℃: 70 Watts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二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采购需求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该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设备利用超声波将染色体 DNA样本片段化，震碎细胞或组织提取蛋白质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次实验可同时处理6-12个样品。针对不同体积的样品，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该设备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可选择不同的适配器（ adaptors）以配合和应的离心管，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根据样品的来源和性质不同，通过预实验设置与样品性质相符的超声参数，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该设备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即可在实验中实现全自动超声，显著提高实验的重复性和结果的可靠性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该设备也可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广泛用于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组织破碎和均质化、代谢物和总蛋白提取、DNA片段化、RNA提取、纳米颗粒形成---微粉化、染色质剪切、细胞、孢子和细胞器裂解、化合物溶解和制备、配方设计、药物的吸收、分布、代谢、排泄/毒物提取等。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本课题组主要用于表观遗传学研究，表观遗传学(Epigenetics)是近年来本国及欧美国家医学研究很多的课题, 其中染色质免疫共沉淀实验(ChIP assay)与DNA甲基化实验(MeDIP assay), 是表观遗传学研究中最常用的技术以及研究方向，这些实验过程中, 其最关键步骤即为打断染色质或基因组DNA，且要求断裂的片段大小均一性与重复性要求极高，该设备完全满足了这些实验要求。随着二代测序技术及仪器长足的发展, 将ChIP, MeDIP实验结果进行测序, 分析实验结果的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研究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也越来越多, 其中测序实验对样本质量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样本处理通量及样本清洁度的要求更加严格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该设备在通量处理和样本清清度也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达到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了实验要求。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</w:pPr>
      <w:bookmarkStart w:id="0" w:name="_Hlk53567536"/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三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val="en-US" w:eastAsia="zh-CN"/>
        </w:rPr>
        <w:t>、</w:t>
      </w:r>
      <w:r>
        <w:rPr>
          <w:rFonts w:hint="eastAsia" w:ascii="黑体" w:hAnsi="黑体" w:eastAsia="黑体" w:cs="黑体"/>
          <w:bCs/>
          <w:color w:val="000000"/>
          <w:sz w:val="32"/>
          <w:szCs w:val="32"/>
          <w:lang w:eastAsia="zh-CN"/>
        </w:rPr>
        <w:t>进口产品购置理由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非接触式细胞破碎仪是利用超声对珍贵样品进行无接触式的，同时进行6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～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12个样品平行破碎实验，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各样品均在单独的全封闭试管中，避免交叉污染；采用4℃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水浴超声波，能量分布均匀，超声作用完全；超声参数设置灵活，实验步骤标准化，实验重复性好，结果可靠性高。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进口非接触式细胞破碎仪，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利用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 xml:space="preserve"> 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ACT (Adaptive Cavitation Transfer) 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超声技术破碎样本，可根据样本容量自动调整输出功率，使核酸样本破碎大小范围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1kb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～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200bp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内，对于ChIP（染色质免疫共沉淀）实验，可获得500bp或者更短的DNA片段，一组样品可在 2 小时内破碎完成，节省大量时间。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通过预实验设置与样品性质相符的超声参数，即可在实验中实现全自动超声，显著提高实验结果的可靠性做平行实验，重复性完全一致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hint="eastAsia" w:ascii="楷体_GB2312" w:hAnsi="楷体_GB2312" w:eastAsia="楷体_GB2312" w:cs="楷体_GB2312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kern w:val="0"/>
          <w:sz w:val="32"/>
          <w:szCs w:val="32"/>
        </w:rPr>
        <w:t>目前国内相应设备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最多只能处理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个样品，固定的频率输出，校酸破碎大小范围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10kb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～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700bp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内，各个校酸片段大小相差6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 xml:space="preserve"> kb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以上，达不到科研实验要求，</w:t>
      </w:r>
      <w:r>
        <w:rPr>
          <w:rFonts w:ascii="仿宋_GB2312" w:hAnsi="仿宋_GB2312" w:eastAsia="仿宋_GB2312" w:cs="仿宋_GB2312"/>
          <w:kern w:val="0"/>
          <w:sz w:val="32"/>
          <w:szCs w:val="32"/>
        </w:rPr>
        <w:t>故申请采购进口非接触式超声波破碎仪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18" w:right="1531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61F"/>
    <w:rsid w:val="00140B54"/>
    <w:rsid w:val="00293671"/>
    <w:rsid w:val="00475489"/>
    <w:rsid w:val="005630A1"/>
    <w:rsid w:val="008B6DFB"/>
    <w:rsid w:val="0091139A"/>
    <w:rsid w:val="00A350BC"/>
    <w:rsid w:val="00BA2364"/>
    <w:rsid w:val="00EA3287"/>
    <w:rsid w:val="00EC0024"/>
    <w:rsid w:val="00F34BC1"/>
    <w:rsid w:val="00F9261F"/>
    <w:rsid w:val="019473A4"/>
    <w:rsid w:val="0828386F"/>
    <w:rsid w:val="08BE1728"/>
    <w:rsid w:val="157227AD"/>
    <w:rsid w:val="16A352A8"/>
    <w:rsid w:val="19F31FF8"/>
    <w:rsid w:val="25A200F1"/>
    <w:rsid w:val="281C0304"/>
    <w:rsid w:val="29AC5494"/>
    <w:rsid w:val="2C0B4F64"/>
    <w:rsid w:val="2F091530"/>
    <w:rsid w:val="345965F8"/>
    <w:rsid w:val="361622FE"/>
    <w:rsid w:val="363C508E"/>
    <w:rsid w:val="3EF24CA6"/>
    <w:rsid w:val="40120C54"/>
    <w:rsid w:val="52965889"/>
    <w:rsid w:val="53491EC0"/>
    <w:rsid w:val="57E75F7A"/>
    <w:rsid w:val="60746935"/>
    <w:rsid w:val="607C0CCF"/>
    <w:rsid w:val="630105F3"/>
    <w:rsid w:val="634544EB"/>
    <w:rsid w:val="63640E92"/>
    <w:rsid w:val="657965FF"/>
    <w:rsid w:val="75467F71"/>
    <w:rsid w:val="763F3116"/>
    <w:rsid w:val="77CE6437"/>
    <w:rsid w:val="79FB34A6"/>
    <w:rsid w:val="7DC446A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semiHidden="0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uiPriority w:val="99"/>
    <w:pPr>
      <w:jc w:val="left"/>
    </w:p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5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198</Words>
  <Characters>1129</Characters>
  <Lines>9</Lines>
  <Paragraphs>2</Paragraphs>
  <ScaleCrop>false</ScaleCrop>
  <LinksUpToDate>false</LinksUpToDate>
  <CharactersWithSpaces>1325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2021-09-08T09:11:00Z</dcterms:created>
  <dc:creator>Admin</dc:creator>
  <cp:lastModifiedBy>Administrator</cp:lastModifiedBy>
  <dcterms:modified xsi:type="dcterms:W3CDTF">2021-11-23T09:50:12Z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  <property fmtid="{D5CDD505-2E9C-101B-9397-08002B2CF9AE}" pid="3" name="ICV">
    <vt:lpwstr>68063A5710F844A9B39724A77B4732DB</vt:lpwstr>
  </property>
</Properties>
</file>