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kern w:val="0"/>
          <w:sz w:val="32"/>
          <w:szCs w:val="32"/>
        </w:rPr>
      </w:pPr>
      <w:r>
        <w:rPr>
          <w:rFonts w:hint="eastAsia" w:ascii="方正小标宋简体" w:hAnsi="方正小标宋简体" w:eastAsia="方正小标宋简体" w:cs="方正小标宋简体"/>
          <w:kern w:val="0"/>
          <w:sz w:val="36"/>
          <w:szCs w:val="36"/>
        </w:rPr>
        <w:t>核磁共振波谱仪</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一、技术参数</w:t>
      </w:r>
    </w:p>
    <w:p>
      <w:pPr>
        <w:spacing w:line="560" w:lineRule="exact"/>
        <w:ind w:firstLine="643" w:firstLineChars="200"/>
        <w:rPr>
          <w:rFonts w:hint="eastAsia" w:ascii="仿宋_GB2312" w:hAnsi="仿宋_GB2312" w:eastAsia="仿宋_GB2312" w:cs="仿宋_GB2312"/>
          <w:b/>
          <w:bCs/>
          <w:sz w:val="32"/>
          <w:szCs w:val="32"/>
        </w:rPr>
      </w:pPr>
      <w:r>
        <w:rPr>
          <w:rFonts w:hint="eastAsia" w:ascii="黑体" w:hAnsi="黑体" w:eastAsia="黑体" w:cs="仿宋_GB2312"/>
          <w:b/>
          <w:bCs/>
          <w:sz w:val="32"/>
          <w:szCs w:val="32"/>
        </w:rPr>
        <w:t>1.</w:t>
      </w:r>
      <w:r>
        <w:rPr>
          <w:rFonts w:hint="eastAsia" w:ascii="仿宋_GB2312" w:hAnsi="仿宋_GB2312" w:eastAsia="仿宋_GB2312" w:cs="仿宋_GB2312"/>
          <w:b/>
          <w:bCs/>
          <w:sz w:val="32"/>
          <w:szCs w:val="32"/>
        </w:rPr>
        <w:t>主要参数</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1.1</w:t>
      </w:r>
      <w:r>
        <w:rPr>
          <w:rFonts w:hint="eastAsia" w:ascii="仿宋_GB2312" w:hAnsi="仿宋_GB2312" w:eastAsia="仿宋_GB2312" w:cs="仿宋_GB2312"/>
          <w:sz w:val="32"/>
          <w:szCs w:val="32"/>
        </w:rPr>
        <w:t>超导磁体</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sz w:val="32"/>
          <w:szCs w:val="32"/>
        </w:rPr>
        <w:t>1.1.1</w:t>
      </w:r>
      <w:r>
        <w:rPr>
          <w:rFonts w:hint="eastAsia" w:ascii="仿宋_GB2312" w:hAnsi="仿宋_GB2312" w:eastAsia="仿宋_GB2312" w:cs="仿宋_GB2312"/>
          <w:sz w:val="32"/>
          <w:szCs w:val="32"/>
        </w:rPr>
        <w:t>具有低液氦与液氮消耗、高稳定性、高均匀性、</w:t>
      </w:r>
      <w:r>
        <w:rPr>
          <w:rFonts w:hint="eastAsia" w:ascii="仿宋_GB2312" w:hAnsi="仿宋_GB2312" w:eastAsia="仿宋_GB2312" w:cs="仿宋_GB2312"/>
          <w:color w:val="000000"/>
          <w:sz w:val="32"/>
          <w:szCs w:val="32"/>
        </w:rPr>
        <w:t>抗干扰超屏蔽超导磁体或自屏蔽磁体，低温匀场线圈：≥9组，室温匀场线圈：≥36组，磁场漂移：≤ 6 Hz／小时</w:t>
      </w:r>
    </w:p>
    <w:p>
      <w:pPr>
        <w:spacing w:line="560" w:lineRule="exact"/>
        <w:ind w:firstLine="320" w:firstLineChars="100"/>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黑体" w:hAnsi="黑体" w:eastAsia="黑体" w:cs="仿宋_GB2312"/>
          <w:sz w:val="32"/>
          <w:szCs w:val="32"/>
        </w:rPr>
        <w:t>1.1.2</w:t>
      </w:r>
      <w:r>
        <w:rPr>
          <w:rFonts w:hint="eastAsia" w:ascii="仿宋_GB2312" w:hAnsi="仿宋_GB2312" w:eastAsia="仿宋_GB2312" w:cs="仿宋_GB2312"/>
          <w:sz w:val="32"/>
          <w:szCs w:val="32"/>
        </w:rPr>
        <w:t>液氦维持时间：≥ 150天</w:t>
      </w:r>
    </w:p>
    <w:p>
      <w:pPr>
        <w:spacing w:line="560" w:lineRule="exact"/>
        <w:ind w:firstLine="320" w:firstLineChars="100"/>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黑体" w:hAnsi="黑体" w:eastAsia="黑体" w:cs="仿宋_GB2312"/>
          <w:sz w:val="32"/>
          <w:szCs w:val="32"/>
        </w:rPr>
        <w:t xml:space="preserve">1.1.3 </w:t>
      </w:r>
      <w:r>
        <w:rPr>
          <w:rFonts w:hint="eastAsia" w:ascii="仿宋_GB2312" w:hAnsi="仿宋_GB2312" w:eastAsia="仿宋_GB2312" w:cs="仿宋_GB2312"/>
          <w:sz w:val="32"/>
          <w:szCs w:val="32"/>
        </w:rPr>
        <w:t>液氦消耗速率：≤ 16.2mL／小时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1.1.4 </w:t>
      </w:r>
      <w:r>
        <w:rPr>
          <w:rFonts w:hint="eastAsia" w:ascii="仿宋_GB2312" w:hAnsi="仿宋_GB2312" w:eastAsia="仿宋_GB2312" w:cs="仿宋_GB2312"/>
          <w:color w:val="000000"/>
          <w:sz w:val="32"/>
          <w:szCs w:val="32"/>
        </w:rPr>
        <w:t>高斯强度处横向距离：＜ 0.7 米</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1.1.5</w:t>
      </w:r>
      <w:r>
        <w:rPr>
          <w:rFonts w:hint="eastAsia" w:ascii="仿宋_GB2312" w:hAnsi="仿宋_GB2312" w:eastAsia="仿宋_GB2312" w:cs="仿宋_GB2312"/>
          <w:color w:val="000000"/>
          <w:sz w:val="32"/>
          <w:szCs w:val="32"/>
        </w:rPr>
        <w:t>有液氦液面自动监视和最小液面自动报警装置：</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1.2</w:t>
      </w:r>
      <w:r>
        <w:rPr>
          <w:rFonts w:hint="eastAsia" w:ascii="仿宋_GB2312" w:hAnsi="仿宋_GB2312" w:eastAsia="仿宋_GB2312" w:cs="仿宋_GB2312"/>
          <w:sz w:val="32"/>
          <w:szCs w:val="32"/>
        </w:rPr>
        <w:t>射频发射系统</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1.2.1</w:t>
      </w:r>
      <w:r>
        <w:rPr>
          <w:rFonts w:hint="eastAsia" w:ascii="仿宋_GB2312" w:hAnsi="仿宋_GB2312" w:eastAsia="仿宋_GB2312" w:cs="仿宋_GB2312"/>
          <w:sz w:val="32"/>
          <w:szCs w:val="32"/>
        </w:rPr>
        <w:t>射频通道数：2个</w:t>
      </w:r>
    </w:p>
    <w:p>
      <w:pPr>
        <w:spacing w:line="560" w:lineRule="exact"/>
        <w:ind w:firstLine="320" w:firstLineChars="100"/>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黑体" w:hAnsi="黑体" w:eastAsia="黑体" w:cs="仿宋_GB2312"/>
          <w:sz w:val="32"/>
          <w:szCs w:val="32"/>
        </w:rPr>
        <w:t xml:space="preserve">1.2.2 </w:t>
      </w:r>
      <w:r>
        <w:rPr>
          <w:rFonts w:hint="eastAsia" w:ascii="仿宋_GB2312" w:hAnsi="仿宋_GB2312" w:eastAsia="仿宋_GB2312" w:cs="仿宋_GB2312"/>
          <w:sz w:val="32"/>
          <w:szCs w:val="32"/>
        </w:rPr>
        <w:t>各通道具有的功能：各通道有独立的观测、去偶、信号接收、模数转换功能；</w:t>
      </w:r>
      <w:bookmarkStart w:id="2" w:name="_GoBack"/>
      <w:bookmarkEnd w:id="2"/>
    </w:p>
    <w:p>
      <w:pPr>
        <w:spacing w:line="560" w:lineRule="exact"/>
        <w:ind w:left="824" w:leftChars="152" w:hanging="505" w:hangingChars="158"/>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黑体" w:hAnsi="黑体" w:eastAsia="黑体" w:cs="仿宋_GB2312"/>
          <w:sz w:val="32"/>
          <w:szCs w:val="32"/>
        </w:rPr>
        <w:t>1.2.3</w:t>
      </w:r>
      <w:r>
        <w:rPr>
          <w:rFonts w:hint="eastAsia" w:ascii="仿宋_GB2312" w:hAnsi="仿宋_GB2312" w:eastAsia="仿宋_GB2312" w:cs="仿宋_GB2312"/>
          <w:sz w:val="32"/>
          <w:szCs w:val="32"/>
        </w:rPr>
        <w:t>双通道频率发生器数字频率合成，每个通道合成频率范围  5-1280 MHz；</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1.2.4</w:t>
      </w:r>
      <w:r>
        <w:rPr>
          <w:rFonts w:hint="eastAsia" w:ascii="仿宋_GB2312" w:hAnsi="仿宋_GB2312" w:eastAsia="仿宋_GB2312" w:cs="仿宋_GB2312"/>
          <w:sz w:val="32"/>
          <w:szCs w:val="32"/>
        </w:rPr>
        <w:t>双功放系统</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1.2.5</w:t>
      </w:r>
      <w:r>
        <w:rPr>
          <w:rFonts w:hint="eastAsia" w:ascii="仿宋_GB2312" w:hAnsi="仿宋_GB2312" w:eastAsia="仿宋_GB2312" w:cs="仿宋_GB2312"/>
          <w:sz w:val="32"/>
          <w:szCs w:val="32"/>
        </w:rPr>
        <w:t>质子最大输出功率：≥100W</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1.2.6</w:t>
      </w:r>
      <w:r>
        <w:rPr>
          <w:rFonts w:hint="eastAsia" w:ascii="仿宋_GB2312" w:hAnsi="仿宋_GB2312" w:eastAsia="仿宋_GB2312" w:cs="仿宋_GB2312"/>
          <w:sz w:val="32"/>
          <w:szCs w:val="32"/>
        </w:rPr>
        <w:t>多核最大输出功率：≥500W</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1.3</w:t>
      </w:r>
      <w:r>
        <w:rPr>
          <w:rFonts w:hint="eastAsia" w:ascii="仿宋_GB2312" w:hAnsi="仿宋_GB2312" w:eastAsia="仿宋_GB2312" w:cs="仿宋_GB2312"/>
          <w:sz w:val="32"/>
          <w:szCs w:val="32"/>
        </w:rPr>
        <w:t>接收及采样</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黑体" w:hAnsi="黑体" w:eastAsia="黑体" w:cs="仿宋_GB2312"/>
          <w:sz w:val="32"/>
          <w:szCs w:val="32"/>
        </w:rPr>
        <w:t>1.3.1</w:t>
      </w:r>
      <w:r>
        <w:rPr>
          <w:rFonts w:hint="eastAsia" w:ascii="仿宋_GB2312" w:hAnsi="仿宋_GB2312" w:eastAsia="仿宋_GB2312" w:cs="仿宋_GB2312"/>
          <w:sz w:val="32"/>
          <w:szCs w:val="32"/>
        </w:rPr>
        <w:t>接收中频≥1.852 GHz</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黑体" w:hAnsi="黑体" w:eastAsia="黑体" w:cs="仿宋_GB2312"/>
          <w:sz w:val="32"/>
          <w:szCs w:val="32"/>
        </w:rPr>
        <w:t>1.3.2</w:t>
      </w:r>
      <w:r>
        <w:rPr>
          <w:rFonts w:hint="eastAsia" w:ascii="仿宋_GB2312" w:hAnsi="仿宋_GB2312" w:eastAsia="仿宋_GB2312" w:cs="仿宋_GB2312"/>
          <w:sz w:val="32"/>
          <w:szCs w:val="32"/>
        </w:rPr>
        <w:t>每个通道独立的高速ADC，采样速率≥240 兆次/秒</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1.3.3 </w:t>
      </w:r>
      <w:r>
        <w:rPr>
          <w:rFonts w:hint="eastAsia" w:ascii="仿宋_GB2312" w:hAnsi="仿宋_GB2312" w:eastAsia="仿宋_GB2312" w:cs="仿宋_GB2312"/>
          <w:sz w:val="32"/>
          <w:szCs w:val="32"/>
        </w:rPr>
        <w:t>6KHz谱宽有效动态范围〉23Bit</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1.4</w:t>
      </w:r>
      <w:r>
        <w:rPr>
          <w:rFonts w:hint="eastAsia" w:ascii="仿宋_GB2312" w:hAnsi="仿宋_GB2312" w:eastAsia="仿宋_GB2312" w:cs="仿宋_GB2312"/>
          <w:sz w:val="32"/>
          <w:szCs w:val="32"/>
        </w:rPr>
        <w:t>氘数字锁场及梯度匀场系统</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1.4.1</w:t>
      </w:r>
      <w:r>
        <w:rPr>
          <w:rFonts w:hint="eastAsia" w:ascii="仿宋_GB2312" w:hAnsi="仿宋_GB2312" w:eastAsia="仿宋_GB2312" w:cs="仿宋_GB2312"/>
          <w:sz w:val="32"/>
          <w:szCs w:val="32"/>
        </w:rPr>
        <w:t>自动／手动匀场系统</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1.4.2</w:t>
      </w:r>
      <w:r>
        <w:rPr>
          <w:rFonts w:hint="eastAsia" w:ascii="仿宋_GB2312" w:hAnsi="仿宋_GB2312" w:eastAsia="仿宋_GB2312" w:cs="仿宋_GB2312"/>
          <w:sz w:val="32"/>
          <w:szCs w:val="32"/>
        </w:rPr>
        <w:t>精确的氘梯度自动匀场</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1.4.3</w:t>
      </w:r>
      <w:r>
        <w:rPr>
          <w:rFonts w:hint="eastAsia" w:ascii="仿宋_GB2312" w:hAnsi="仿宋_GB2312" w:eastAsia="仿宋_GB2312" w:cs="仿宋_GB2312"/>
          <w:sz w:val="32"/>
          <w:szCs w:val="32"/>
        </w:rPr>
        <w:t xml:space="preserve"> 支持多溶剂峰（如吡啶）自动锁场</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1.4.4</w:t>
      </w:r>
      <w:r>
        <w:rPr>
          <w:rFonts w:hint="eastAsia" w:ascii="仿宋_GB2312" w:hAnsi="仿宋_GB2312" w:eastAsia="仿宋_GB2312" w:cs="仿宋_GB2312"/>
          <w:sz w:val="32"/>
          <w:szCs w:val="32"/>
        </w:rPr>
        <w:t xml:space="preserve"> Z方向射频脉冲梯度场</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梯度场最大电流：≥10A</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1.5</w:t>
      </w:r>
      <w:r>
        <w:rPr>
          <w:rFonts w:hint="eastAsia" w:ascii="仿宋_GB2312" w:hAnsi="仿宋_GB2312" w:eastAsia="仿宋_GB2312" w:cs="仿宋_GB2312"/>
          <w:sz w:val="32"/>
          <w:szCs w:val="32"/>
        </w:rPr>
        <w:t>高精度变温控制单元</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黑体" w:hAnsi="黑体" w:eastAsia="黑体" w:cs="仿宋_GB2312"/>
          <w:sz w:val="32"/>
          <w:szCs w:val="32"/>
        </w:rPr>
        <w:t>1.5.1</w:t>
      </w:r>
      <w:r>
        <w:rPr>
          <w:rFonts w:hint="eastAsia" w:ascii="仿宋_GB2312" w:hAnsi="仿宋_GB2312" w:eastAsia="仿宋_GB2312" w:cs="仿宋_GB2312"/>
          <w:sz w:val="32"/>
          <w:szCs w:val="32"/>
        </w:rPr>
        <w:t>控温范围：-150℃</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+600℃ (低温实验需另配低温附件)</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1.5.2</w:t>
      </w:r>
      <w:r>
        <w:rPr>
          <w:rFonts w:hint="eastAsia" w:ascii="仿宋_GB2312" w:hAnsi="仿宋_GB2312" w:eastAsia="仿宋_GB2312" w:cs="仿宋_GB2312"/>
          <w:sz w:val="32"/>
          <w:szCs w:val="32"/>
        </w:rPr>
        <w:t>精度＜±0.1℃</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1.5.3 </w:t>
      </w:r>
      <w:r>
        <w:rPr>
          <w:rFonts w:hint="eastAsia" w:ascii="仿宋_GB2312" w:hAnsi="仿宋_GB2312" w:eastAsia="仿宋_GB2312" w:cs="仿宋_GB2312"/>
          <w:sz w:val="32"/>
          <w:szCs w:val="32"/>
        </w:rPr>
        <w:t>利用核磁共振热电偶功能，准确测量并自动控制样品温度</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w:t>
      </w:r>
      <w:r>
        <w:rPr>
          <w:rFonts w:hint="eastAsia" w:ascii="仿宋_GB2312" w:hAnsi="仿宋_GB2312" w:eastAsia="仿宋_GB2312" w:cs="仿宋_GB2312"/>
          <w:sz w:val="32"/>
          <w:szCs w:val="32"/>
        </w:rPr>
        <w:t>探头</w:t>
      </w:r>
    </w:p>
    <w:p>
      <w:pPr>
        <w:spacing w:line="560" w:lineRule="exact"/>
        <w:ind w:firstLine="640" w:firstLineChars="200"/>
        <w:rPr>
          <w:rFonts w:hint="eastAsia" w:ascii="仿宋_GB2312" w:hAnsi="仿宋_GB2312" w:eastAsia="仿宋_GB2312" w:cs="仿宋_GB2312"/>
          <w:sz w:val="32"/>
          <w:szCs w:val="32"/>
        </w:rPr>
      </w:pPr>
      <w:bookmarkStart w:id="0" w:name="_Hlk80613762"/>
      <w:r>
        <w:rPr>
          <w:rFonts w:hint="eastAsia" w:ascii="黑体" w:hAnsi="黑体" w:eastAsia="黑体" w:cs="仿宋_GB2312"/>
          <w:sz w:val="32"/>
          <w:szCs w:val="32"/>
        </w:rPr>
        <w:t xml:space="preserve">1.6.1 </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rPr>
        <w:t>19</w:t>
      </w:r>
      <w:r>
        <w:rPr>
          <w:rFonts w:hint="eastAsia" w:ascii="仿宋_GB2312" w:hAnsi="仿宋_GB2312" w:eastAsia="仿宋_GB2312" w:cs="仿宋_GB2312"/>
          <w:sz w:val="32"/>
          <w:szCs w:val="32"/>
        </w:rPr>
        <w:t>F-（</w:t>
      </w:r>
      <w:r>
        <w:rPr>
          <w:rFonts w:hint="eastAsia" w:ascii="仿宋_GB2312" w:hAnsi="仿宋_GB2312" w:eastAsia="仿宋_GB2312" w:cs="仿宋_GB2312"/>
          <w:sz w:val="32"/>
          <w:szCs w:val="32"/>
          <w:vertAlign w:val="superscript"/>
        </w:rPr>
        <w:t>109</w:t>
      </w:r>
      <w:r>
        <w:rPr>
          <w:rFonts w:hint="eastAsia" w:ascii="仿宋_GB2312" w:hAnsi="仿宋_GB2312" w:eastAsia="仿宋_GB2312" w:cs="仿宋_GB2312"/>
          <w:sz w:val="32"/>
          <w:szCs w:val="32"/>
        </w:rPr>
        <w:t>Ag-</w:t>
      </w:r>
      <w:r>
        <w:rPr>
          <w:rFonts w:hint="eastAsia" w:ascii="仿宋_GB2312" w:hAnsi="仿宋_GB2312" w:eastAsia="仿宋_GB2312" w:cs="仿宋_GB2312"/>
          <w:sz w:val="32"/>
          <w:szCs w:val="32"/>
          <w:vertAlign w:val="superscript"/>
        </w:rPr>
        <w:t>31</w:t>
      </w:r>
      <w:r>
        <w:rPr>
          <w:rFonts w:hint="eastAsia" w:ascii="仿宋_GB2312" w:hAnsi="仿宋_GB2312" w:eastAsia="仿宋_GB2312" w:cs="仿宋_GB2312"/>
          <w:sz w:val="32"/>
          <w:szCs w:val="32"/>
        </w:rPr>
        <w:t>P）5mm Z梯度场多核二合一探头</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黑体" w:hAnsi="黑体" w:eastAsia="黑体" w:cs="仿宋_GB2312"/>
          <w:sz w:val="32"/>
          <w:szCs w:val="32"/>
        </w:rPr>
        <w:t>1.6.1.1</w:t>
      </w:r>
      <w:r>
        <w:rPr>
          <w:rFonts w:hint="eastAsia" w:ascii="仿宋_GB2312" w:hAnsi="仿宋_GB2312" w:eastAsia="仿宋_GB2312" w:cs="仿宋_GB2312"/>
          <w:sz w:val="32"/>
          <w:szCs w:val="32"/>
        </w:rPr>
        <w:t>检测核：</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H和</w:t>
      </w:r>
      <w:r>
        <w:rPr>
          <w:rFonts w:hint="eastAsia" w:ascii="仿宋_GB2312" w:hAnsi="仿宋_GB2312" w:eastAsia="仿宋_GB2312" w:cs="仿宋_GB2312"/>
          <w:sz w:val="32"/>
          <w:szCs w:val="32"/>
          <w:vertAlign w:val="superscript"/>
        </w:rPr>
        <w:t>19</w:t>
      </w:r>
      <w:r>
        <w:rPr>
          <w:rFonts w:hint="eastAsia" w:ascii="仿宋_GB2312" w:hAnsi="仿宋_GB2312" w:eastAsia="仿宋_GB2312" w:cs="仿宋_GB2312"/>
          <w:sz w:val="32"/>
          <w:szCs w:val="32"/>
        </w:rPr>
        <w:t>F、共振频率在</w:t>
      </w:r>
      <w:r>
        <w:rPr>
          <w:rFonts w:hint="eastAsia" w:ascii="仿宋_GB2312" w:hAnsi="仿宋_GB2312" w:eastAsia="仿宋_GB2312" w:cs="仿宋_GB2312"/>
          <w:sz w:val="32"/>
          <w:szCs w:val="32"/>
          <w:vertAlign w:val="superscript"/>
        </w:rPr>
        <w:t>109</w:t>
      </w:r>
      <w:r>
        <w:rPr>
          <w:rFonts w:hint="eastAsia" w:ascii="仿宋_GB2312" w:hAnsi="仿宋_GB2312" w:eastAsia="仿宋_GB2312" w:cs="仿宋_GB2312"/>
          <w:sz w:val="32"/>
          <w:szCs w:val="32"/>
        </w:rPr>
        <w:t>Ag到</w:t>
      </w:r>
      <w:r>
        <w:rPr>
          <w:rFonts w:hint="eastAsia" w:ascii="仿宋_GB2312" w:hAnsi="仿宋_GB2312" w:eastAsia="仿宋_GB2312" w:cs="仿宋_GB2312"/>
          <w:sz w:val="32"/>
          <w:szCs w:val="32"/>
          <w:vertAlign w:val="superscript"/>
        </w:rPr>
        <w:t>17</w:t>
      </w:r>
      <w:r>
        <w:rPr>
          <w:rFonts w:hint="eastAsia" w:ascii="仿宋_GB2312" w:hAnsi="仿宋_GB2312" w:eastAsia="仿宋_GB2312" w:cs="仿宋_GB2312"/>
          <w:sz w:val="32"/>
          <w:szCs w:val="32"/>
        </w:rPr>
        <w:t>O、</w:t>
      </w:r>
      <w:r>
        <w:rPr>
          <w:rFonts w:hint="eastAsia" w:ascii="仿宋_GB2312" w:hAnsi="仿宋_GB2312" w:eastAsia="仿宋_GB2312" w:cs="仿宋_GB2312"/>
          <w:sz w:val="32"/>
          <w:szCs w:val="32"/>
          <w:vertAlign w:val="superscript"/>
        </w:rPr>
        <w:t>199</w:t>
      </w:r>
      <w:r>
        <w:rPr>
          <w:rFonts w:hint="eastAsia" w:ascii="仿宋_GB2312" w:hAnsi="仿宋_GB2312" w:eastAsia="仿宋_GB2312" w:cs="仿宋_GB2312"/>
          <w:sz w:val="32"/>
          <w:szCs w:val="32"/>
        </w:rPr>
        <w:t>Hg到</w:t>
      </w:r>
      <w:r>
        <w:rPr>
          <w:rFonts w:hint="eastAsia" w:ascii="仿宋_GB2312" w:hAnsi="仿宋_GB2312" w:eastAsia="仿宋_GB2312" w:cs="仿宋_GB2312"/>
          <w:sz w:val="32"/>
          <w:szCs w:val="32"/>
          <w:vertAlign w:val="superscript"/>
        </w:rPr>
        <w:t>31</w:t>
      </w:r>
      <w:r>
        <w:rPr>
          <w:rFonts w:hint="eastAsia" w:ascii="仿宋_GB2312" w:hAnsi="仿宋_GB2312" w:eastAsia="仿宋_GB2312" w:cs="仿宋_GB2312"/>
          <w:sz w:val="32"/>
          <w:szCs w:val="32"/>
        </w:rPr>
        <w:t>P等90多个核间的所有核</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1.6.1.2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H分辨率（旋转）≤ 0.6 Hz (1％ CHCl</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1.6.1.3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H 线型 (旋转) ≤ 6/12 Hz (1% CHCL3)</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1.6.1.4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perscript"/>
        </w:rPr>
        <w:t>13</w:t>
      </w:r>
      <w:r>
        <w:rPr>
          <w:rFonts w:hint="eastAsia" w:ascii="仿宋_GB2312" w:hAnsi="仿宋_GB2312" w:eastAsia="仿宋_GB2312" w:cs="仿宋_GB2312"/>
          <w:sz w:val="32"/>
          <w:szCs w:val="32"/>
        </w:rPr>
        <w:t>C分辨率 (旋转)≤ 0.2 Hz （ASTM）</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1.6.1.5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perscript"/>
        </w:rPr>
        <w:t>13</w:t>
      </w:r>
      <w:r>
        <w:rPr>
          <w:rFonts w:hint="eastAsia" w:ascii="仿宋_GB2312" w:hAnsi="仿宋_GB2312" w:eastAsia="仿宋_GB2312" w:cs="仿宋_GB2312"/>
          <w:sz w:val="32"/>
          <w:szCs w:val="32"/>
        </w:rPr>
        <w:t>C 线型（旋转）≤ 3/5 Hz （ASTM）</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1.6.1.6</w:t>
      </w:r>
      <w:r>
        <w:rPr>
          <w:rFonts w:hint="eastAsia" w:ascii="仿宋_GB2312" w:hAnsi="仿宋_GB2312" w:eastAsia="仿宋_GB2312" w:cs="仿宋_GB2312"/>
          <w:sz w:val="32"/>
          <w:szCs w:val="32"/>
        </w:rPr>
        <w:t>灵敏度</w:t>
      </w:r>
    </w:p>
    <w:p>
      <w:pPr>
        <w:spacing w:line="560" w:lineRule="exact"/>
        <w:ind w:firstLine="1920" w:firstLineChars="600"/>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H灵敏度≥ 1000:1(0.1％ EB)</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superscript"/>
        </w:rPr>
        <w:t>13</w:t>
      </w:r>
      <w:r>
        <w:rPr>
          <w:rFonts w:hint="eastAsia" w:ascii="仿宋_GB2312" w:hAnsi="仿宋_GB2312" w:eastAsia="仿宋_GB2312" w:cs="仿宋_GB2312"/>
          <w:sz w:val="32"/>
          <w:szCs w:val="32"/>
        </w:rPr>
        <w:t>C 灵敏度≥ 390:1(10% EB，一次扫描)</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superscript"/>
        </w:rPr>
        <w:t>31</w:t>
      </w:r>
      <w:r>
        <w:rPr>
          <w:rFonts w:hint="eastAsia" w:ascii="仿宋_GB2312" w:hAnsi="仿宋_GB2312" w:eastAsia="仿宋_GB2312" w:cs="仿宋_GB2312"/>
          <w:sz w:val="32"/>
          <w:szCs w:val="32"/>
        </w:rPr>
        <w:t>P灵敏度≥ 300:1(TPP)</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superscript"/>
        </w:rPr>
        <w:t>15</w:t>
      </w:r>
      <w:r>
        <w:rPr>
          <w:rFonts w:hint="eastAsia" w:ascii="仿宋_GB2312" w:hAnsi="仿宋_GB2312" w:eastAsia="仿宋_GB2312" w:cs="仿宋_GB2312"/>
          <w:sz w:val="32"/>
          <w:szCs w:val="32"/>
        </w:rPr>
        <w:t>N灵敏度≥ 45:1 (90% formamide)</w:t>
      </w:r>
    </w:p>
    <w:p>
      <w:pPr>
        <w:spacing w:line="560" w:lineRule="exact"/>
        <w:ind w:firstLine="1920" w:firstLineChars="600"/>
        <w:rPr>
          <w:rFonts w:hint="eastAsia" w:ascii="仿宋_GB2312" w:hAnsi="仿宋_GB2312" w:eastAsia="仿宋_GB2312" w:cs="仿宋_GB2312"/>
          <w:sz w:val="32"/>
          <w:szCs w:val="32"/>
        </w:rPr>
      </w:pPr>
      <w:r>
        <w:rPr>
          <w:rFonts w:hint="eastAsia" w:ascii="黑体" w:hAnsi="黑体" w:eastAsia="黑体"/>
          <w:color w:val="000000"/>
          <w:sz w:val="32"/>
          <w:szCs w:val="32"/>
        </w:rPr>
        <w:t>▲</w:t>
      </w:r>
      <w:r>
        <w:rPr>
          <w:rFonts w:hint="eastAsia" w:ascii="仿宋_GB2312" w:hAnsi="仿宋_GB2312" w:eastAsia="仿宋_GB2312" w:cs="仿宋_GB2312"/>
          <w:sz w:val="32"/>
          <w:szCs w:val="32"/>
          <w:vertAlign w:val="superscript"/>
        </w:rPr>
        <w:t>19</w:t>
      </w:r>
      <w:r>
        <w:rPr>
          <w:rFonts w:hint="eastAsia" w:ascii="仿宋_GB2312" w:hAnsi="仿宋_GB2312" w:eastAsia="仿宋_GB2312" w:cs="仿宋_GB2312"/>
          <w:sz w:val="32"/>
          <w:szCs w:val="32"/>
        </w:rPr>
        <w:t>F灵敏度≥ 1100:1 (90% TFT)</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1.6.1.7 </w:t>
      </w:r>
      <w:r>
        <w:rPr>
          <w:rFonts w:hint="eastAsia" w:ascii="仿宋_GB2312" w:hAnsi="仿宋_GB2312" w:eastAsia="仿宋_GB2312" w:cs="仿宋_GB2312"/>
          <w:sz w:val="32"/>
          <w:szCs w:val="32"/>
        </w:rPr>
        <w:t>90度脉冲宽度</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 xml:space="preserve">H ≤ 10μs (0.1% EB sample) </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superscript"/>
        </w:rPr>
        <w:t>19</w:t>
      </w:r>
      <w:r>
        <w:rPr>
          <w:rFonts w:hint="eastAsia" w:ascii="仿宋_GB2312" w:hAnsi="仿宋_GB2312" w:eastAsia="仿宋_GB2312" w:cs="仿宋_GB2312"/>
          <w:sz w:val="32"/>
          <w:szCs w:val="32"/>
        </w:rPr>
        <w:t xml:space="preserve">F ≤ 12μs (TFT sample) </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superscript"/>
        </w:rPr>
        <w:t>13</w:t>
      </w:r>
      <w:r>
        <w:rPr>
          <w:rFonts w:hint="eastAsia" w:ascii="仿宋_GB2312" w:hAnsi="仿宋_GB2312" w:eastAsia="仿宋_GB2312" w:cs="仿宋_GB2312"/>
          <w:sz w:val="32"/>
          <w:szCs w:val="32"/>
        </w:rPr>
        <w:t xml:space="preserve">C ≤ 12μs (ASTM sample) </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superscript"/>
        </w:rPr>
        <w:t>31</w:t>
      </w:r>
      <w:r>
        <w:rPr>
          <w:rFonts w:hint="eastAsia" w:ascii="仿宋_GB2312" w:hAnsi="仿宋_GB2312" w:eastAsia="仿宋_GB2312" w:cs="仿宋_GB2312"/>
          <w:sz w:val="32"/>
          <w:szCs w:val="32"/>
        </w:rPr>
        <w:t xml:space="preserve">P ≤ 12μs (TPP sample) </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superscript"/>
        </w:rPr>
        <w:t>15</w:t>
      </w:r>
      <w:r>
        <w:rPr>
          <w:rFonts w:hint="eastAsia" w:ascii="仿宋_GB2312" w:hAnsi="仿宋_GB2312" w:eastAsia="仿宋_GB2312" w:cs="仿宋_GB2312"/>
          <w:sz w:val="32"/>
          <w:szCs w:val="32"/>
        </w:rPr>
        <w:t>N ≤ 18μs (90% formamide sample)</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1.6.1.8</w:t>
      </w:r>
      <w:r>
        <w:rPr>
          <w:rFonts w:hint="eastAsia" w:ascii="仿宋_GB2312" w:hAnsi="仿宋_GB2312" w:eastAsia="仿宋_GB2312" w:cs="仿宋_GB2312"/>
          <w:sz w:val="32"/>
          <w:szCs w:val="32"/>
        </w:rPr>
        <w:t>加Z-方向梯度场线圈≥50高斯/cm</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1.6.1.9</w:t>
      </w:r>
      <w:r>
        <w:rPr>
          <w:rFonts w:hint="eastAsia" w:ascii="仿宋_GB2312" w:hAnsi="仿宋_GB2312" w:eastAsia="仿宋_GB2312" w:cs="仿宋_GB2312"/>
          <w:sz w:val="32"/>
          <w:szCs w:val="32"/>
        </w:rPr>
        <w:t>探头变温范围: -150℃— +150℃ (低温实验需要另配低温附件)</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1.6.1.10</w:t>
      </w:r>
      <w:r>
        <w:rPr>
          <w:rFonts w:hint="eastAsia" w:ascii="仿宋_GB2312" w:hAnsi="仿宋_GB2312" w:eastAsia="仿宋_GB2312" w:cs="仿宋_GB2312"/>
          <w:sz w:val="32"/>
          <w:szCs w:val="32"/>
        </w:rPr>
        <w:t>探头全自动调谐和匹配附件：必须配备能调所有观测核的全自动调谐和匹配附件</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1.6.1.11</w:t>
      </w:r>
      <w:r>
        <w:rPr>
          <w:rFonts w:hint="eastAsia" w:ascii="仿宋_GB2312" w:hAnsi="仿宋_GB2312" w:eastAsia="仿宋_GB2312" w:cs="仿宋_GB2312"/>
          <w:sz w:val="32"/>
          <w:szCs w:val="32"/>
        </w:rPr>
        <w:t>探头具备观测1H去偶后的19F图谱功能</w:t>
      </w:r>
    </w:p>
    <w:bookmarkEnd w:id="0"/>
    <w:p>
      <w:pPr>
        <w:spacing w:line="560" w:lineRule="exact"/>
        <w:ind w:firstLine="643" w:firstLineChars="200"/>
        <w:rPr>
          <w:rFonts w:hint="eastAsia" w:ascii="仿宋_GB2312" w:hAnsi="仿宋_GB2312" w:eastAsia="仿宋_GB2312" w:cs="仿宋_GB2312"/>
          <w:b/>
          <w:bCs/>
          <w:sz w:val="32"/>
          <w:szCs w:val="32"/>
        </w:rPr>
      </w:pPr>
      <w:r>
        <w:rPr>
          <w:rFonts w:hint="eastAsia" w:ascii="黑体" w:hAnsi="黑体" w:eastAsia="黑体" w:cs="仿宋_GB2312"/>
          <w:b/>
          <w:bCs/>
          <w:sz w:val="32"/>
          <w:szCs w:val="32"/>
        </w:rPr>
        <w:t>2.</w:t>
      </w:r>
      <w:r>
        <w:rPr>
          <w:rFonts w:hint="eastAsia" w:ascii="仿宋_GB2312" w:hAnsi="仿宋_GB2312" w:eastAsia="仿宋_GB2312" w:cs="仿宋_GB2312"/>
          <w:b/>
          <w:bCs/>
          <w:sz w:val="32"/>
          <w:szCs w:val="32"/>
        </w:rPr>
        <w:t>满足有机化学、生物化学、药物化学等方面的结构分析和性能研究，可用于可溶性有机物、蛋白质、多糖等物质的分子结构和分子间相互作用研究；可进行氢、碳、氮的双共振实验。</w:t>
      </w:r>
    </w:p>
    <w:p>
      <w:pPr>
        <w:spacing w:line="560" w:lineRule="exact"/>
        <w:ind w:firstLine="643" w:firstLineChars="200"/>
        <w:rPr>
          <w:rFonts w:hint="eastAsia" w:ascii="仿宋_GB2312" w:hAnsi="仿宋_GB2312" w:eastAsia="仿宋_GB2312" w:cs="仿宋_GB2312"/>
          <w:b/>
          <w:bCs/>
          <w:sz w:val="32"/>
          <w:szCs w:val="32"/>
        </w:rPr>
      </w:pPr>
      <w:r>
        <w:rPr>
          <w:rFonts w:hint="eastAsia" w:ascii="黑体" w:hAnsi="黑体" w:eastAsia="黑体" w:cs="仿宋_GB2312"/>
          <w:b/>
          <w:bCs/>
          <w:sz w:val="32"/>
          <w:szCs w:val="32"/>
        </w:rPr>
        <w:t>3.</w:t>
      </w:r>
      <w:r>
        <w:rPr>
          <w:rFonts w:hint="eastAsia" w:ascii="仿宋_GB2312" w:hAnsi="仿宋_GB2312" w:eastAsia="仿宋_GB2312" w:cs="仿宋_GB2312"/>
          <w:b/>
          <w:bCs/>
          <w:sz w:val="32"/>
          <w:szCs w:val="32"/>
        </w:rPr>
        <w:t>工作站及打印机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3.1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PC工作站（计算机工作站配置应以安装当月的主流配置为准）</w:t>
      </w:r>
    </w:p>
    <w:p>
      <w:pPr>
        <w:adjustRightInd w:val="0"/>
        <w:snapToGrid w:val="0"/>
        <w:spacing w:line="560" w:lineRule="exact"/>
        <w:ind w:left="1260" w:leftChars="600"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CPU：intel至强四核高端处理器</w:t>
      </w:r>
    </w:p>
    <w:p>
      <w:pPr>
        <w:adjustRightInd w:val="0"/>
        <w:snapToGrid w:val="0"/>
        <w:spacing w:line="560" w:lineRule="exact"/>
        <w:ind w:left="1260" w:leftChars="600"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内存：16GB</w:t>
      </w:r>
    </w:p>
    <w:p>
      <w:pPr>
        <w:adjustRightInd w:val="0"/>
        <w:snapToGrid w:val="0"/>
        <w:spacing w:line="560" w:lineRule="exact"/>
        <w:ind w:left="1260" w:leftChars="600"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硬盘：≥ 2 TB</w:t>
      </w:r>
    </w:p>
    <w:p>
      <w:pPr>
        <w:adjustRightInd w:val="0"/>
        <w:snapToGrid w:val="0"/>
        <w:spacing w:line="560" w:lineRule="exact"/>
        <w:ind w:left="1260" w:leftChars="600"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独立显卡：1G</w:t>
      </w:r>
    </w:p>
    <w:p>
      <w:pPr>
        <w:adjustRightInd w:val="0"/>
        <w:snapToGrid w:val="0"/>
        <w:spacing w:line="560" w:lineRule="exact"/>
        <w:ind w:left="1260" w:leftChars="600"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显示器：≥24英寸宽屏液晶彩色显示器</w:t>
      </w:r>
    </w:p>
    <w:p>
      <w:pPr>
        <w:adjustRightInd w:val="0"/>
        <w:snapToGrid w:val="0"/>
        <w:spacing w:line="560" w:lineRule="exact"/>
        <w:ind w:left="1260" w:leftChars="600"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网卡、DVD刻录机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3.2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运行平台： Windows10（64位）系统</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3.3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激光打印机一台</w:t>
      </w:r>
    </w:p>
    <w:p>
      <w:pPr>
        <w:spacing w:line="560" w:lineRule="exact"/>
        <w:ind w:firstLine="643" w:firstLineChars="200"/>
        <w:rPr>
          <w:rFonts w:hint="eastAsia" w:ascii="仿宋_GB2312" w:hAnsi="仿宋_GB2312" w:eastAsia="仿宋_GB2312" w:cs="仿宋_GB2312"/>
          <w:b/>
          <w:bCs/>
          <w:sz w:val="32"/>
          <w:szCs w:val="32"/>
        </w:rPr>
      </w:pPr>
      <w:r>
        <w:rPr>
          <w:rFonts w:hint="eastAsia" w:ascii="黑体" w:hAnsi="黑体" w:eastAsia="黑体" w:cs="仿宋_GB2312"/>
          <w:b/>
          <w:bCs/>
          <w:sz w:val="32"/>
          <w:szCs w:val="32"/>
        </w:rPr>
        <w:t>4</w:t>
      </w:r>
      <w:r>
        <w:rPr>
          <w:rFonts w:hint="eastAsia" w:ascii="仿宋_GB2312" w:hAnsi="仿宋_GB2312" w:eastAsia="仿宋_GB2312" w:cs="仿宋_GB2312"/>
          <w:b/>
          <w:bCs/>
          <w:sz w:val="32"/>
          <w:szCs w:val="32"/>
        </w:rPr>
        <w:t>.NMR软件</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4.1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快速多维采样处理软件许可证一个</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4.2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在线服务软件：包括在线使用帮助、NMR技术指导、实验手册等，</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4.3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脉冲程序模拟软件</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4.4</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核磁数据处理软件许可证一个</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4.5</w:t>
      </w:r>
      <w:r>
        <w:rPr>
          <w:rFonts w:hint="eastAsia" w:ascii="仿宋_GB2312" w:hAnsi="仿宋_GB2312" w:eastAsia="仿宋_GB2312" w:cs="仿宋_GB2312"/>
          <w:sz w:val="32"/>
          <w:szCs w:val="32"/>
        </w:rPr>
        <w:t xml:space="preserve">  实验数据（原始数据及分析结果）可存为通用格式，能被其它NMR软件读取，并能导入Microsoft Office 软件。</w:t>
      </w:r>
    </w:p>
    <w:p>
      <w:pPr>
        <w:spacing w:line="560" w:lineRule="exact"/>
        <w:ind w:firstLine="643" w:firstLineChars="200"/>
        <w:rPr>
          <w:rFonts w:hint="eastAsia" w:ascii="仿宋_GB2312" w:hAnsi="仿宋_GB2312" w:eastAsia="仿宋_GB2312" w:cs="仿宋_GB2312"/>
          <w:b/>
          <w:bCs/>
          <w:sz w:val="32"/>
          <w:szCs w:val="32"/>
        </w:rPr>
      </w:pPr>
      <w:r>
        <w:rPr>
          <w:rFonts w:hint="eastAsia" w:ascii="黑体" w:hAnsi="黑体" w:eastAsia="黑体" w:cs="仿宋_GB2312"/>
          <w:b/>
          <w:bCs/>
          <w:sz w:val="32"/>
          <w:szCs w:val="32"/>
        </w:rPr>
        <w:t>5.</w:t>
      </w:r>
      <w:r>
        <w:rPr>
          <w:rFonts w:hint="eastAsia" w:ascii="仿宋_GB2312" w:hAnsi="仿宋_GB2312" w:eastAsia="仿宋_GB2312" w:cs="仿宋_GB2312"/>
          <w:b/>
          <w:bCs/>
          <w:sz w:val="32"/>
          <w:szCs w:val="32"/>
        </w:rPr>
        <w:t>附件、零配件及消耗品(包括专用工具)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5.1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随机必备的标准附件专用工具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5.2</w:t>
      </w:r>
      <w:r>
        <w:rPr>
          <w:rFonts w:hint="eastAsia" w:ascii="黑体" w:hAnsi="黑体" w:eastAsia="黑体" w:cs="仿宋_GB2312"/>
          <w:sz w:val="32"/>
          <w:szCs w:val="32"/>
        </w:rPr>
        <w:tab/>
      </w:r>
      <w:r>
        <w:rPr>
          <w:rFonts w:hint="eastAsia" w:ascii="仿宋_GB2312" w:hAnsi="仿宋_GB2312" w:eastAsia="仿宋_GB2312" w:cs="仿宋_GB2312"/>
          <w:sz w:val="32"/>
          <w:szCs w:val="32"/>
        </w:rPr>
        <w:t>标准样品 1套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5.3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超导磁体用液氦真空输液管1个</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5.4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包含24位自动进样器及相应位数的核磁转子</w:t>
      </w:r>
    </w:p>
    <w:p>
      <w:pPr>
        <w:spacing w:line="560" w:lineRule="exact"/>
        <w:ind w:firstLine="643" w:firstLineChars="200"/>
        <w:rPr>
          <w:rFonts w:hint="eastAsia" w:ascii="仿宋_GB2312" w:hAnsi="仿宋_GB2312" w:eastAsia="仿宋_GB2312" w:cs="仿宋_GB2312"/>
          <w:b/>
          <w:bCs/>
          <w:sz w:val="32"/>
          <w:szCs w:val="32"/>
        </w:rPr>
      </w:pPr>
      <w:r>
        <w:rPr>
          <w:rFonts w:hint="eastAsia" w:ascii="黑体" w:hAnsi="黑体" w:eastAsia="黑体" w:cs="仿宋_GB2312"/>
          <w:b/>
          <w:bCs/>
          <w:sz w:val="32"/>
          <w:szCs w:val="32"/>
        </w:rPr>
        <w:t>6</w:t>
      </w:r>
      <w:r>
        <w:rPr>
          <w:rFonts w:hint="eastAsia" w:ascii="仿宋_GB2312" w:hAnsi="仿宋_GB2312" w:eastAsia="仿宋_GB2312" w:cs="仿宋_GB2312"/>
          <w:b/>
          <w:bCs/>
          <w:sz w:val="32"/>
          <w:szCs w:val="32"/>
        </w:rPr>
        <w:t>.技术文件与国内提供配套附件：</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6.1</w:t>
      </w:r>
      <w:r>
        <w:rPr>
          <w:rFonts w:hint="eastAsia" w:ascii="仿宋_GB2312" w:hAnsi="仿宋_GB2312" w:eastAsia="仿宋_GB2312" w:cs="仿宋_GB2312"/>
          <w:sz w:val="32"/>
          <w:szCs w:val="32"/>
        </w:rPr>
        <w:t>技术资料：培训教材，操作规程（说明书、光盘）</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6.2</w:t>
      </w:r>
      <w:r>
        <w:rPr>
          <w:rFonts w:hint="eastAsia" w:ascii="仿宋_GB2312" w:hAnsi="仿宋_GB2312" w:eastAsia="仿宋_GB2312" w:cs="仿宋_GB2312"/>
          <w:sz w:val="32"/>
          <w:szCs w:val="32"/>
        </w:rPr>
        <w:t>国内提供附件：</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6.2.1</w:t>
      </w:r>
      <w:r>
        <w:rPr>
          <w:rFonts w:hint="eastAsia" w:ascii="仿宋_GB2312" w:hAnsi="仿宋_GB2312" w:eastAsia="仿宋_GB2312" w:cs="仿宋_GB2312"/>
          <w:sz w:val="32"/>
          <w:szCs w:val="32"/>
        </w:rPr>
        <w:t>仪器安装时，提供所需正常状态下的液氦，液氮，氦气，氮气。</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6.2.2</w:t>
      </w:r>
      <w:r>
        <w:rPr>
          <w:rFonts w:hint="eastAsia" w:ascii="仿宋_GB2312" w:hAnsi="仿宋_GB2312" w:eastAsia="仿宋_GB2312" w:cs="仿宋_GB2312"/>
          <w:sz w:val="32"/>
          <w:szCs w:val="32"/>
        </w:rPr>
        <w:t>山特UPS电源，6KVA,1小时</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6.2.3</w:t>
      </w:r>
      <w:r>
        <w:rPr>
          <w:rFonts w:hint="eastAsia" w:ascii="仿宋_GB2312" w:hAnsi="仿宋_GB2312" w:eastAsia="仿宋_GB2312" w:cs="仿宋_GB2312"/>
          <w:sz w:val="32"/>
          <w:szCs w:val="32"/>
        </w:rPr>
        <w:t>空压机，带过滤器和、储气罐和干燥器1套</w:t>
      </w:r>
    </w:p>
    <w:p>
      <w:pPr>
        <w:spacing w:line="560" w:lineRule="exact"/>
        <w:ind w:firstLine="643" w:firstLineChars="200"/>
        <w:rPr>
          <w:rFonts w:hint="eastAsia" w:ascii="仿宋_GB2312" w:hAnsi="仿宋_GB2312" w:eastAsia="仿宋_GB2312" w:cs="仿宋_GB2312"/>
          <w:b/>
          <w:bCs/>
          <w:sz w:val="32"/>
          <w:szCs w:val="32"/>
        </w:rPr>
      </w:pPr>
      <w:r>
        <w:rPr>
          <w:rFonts w:hint="eastAsia" w:ascii="黑体" w:hAnsi="黑体" w:eastAsia="黑体" w:cs="仿宋_GB2312"/>
          <w:b/>
          <w:bCs/>
          <w:sz w:val="32"/>
          <w:szCs w:val="32"/>
        </w:rPr>
        <w:t>7.</w:t>
      </w:r>
      <w:r>
        <w:rPr>
          <w:rFonts w:hint="eastAsia" w:ascii="仿宋_GB2312" w:hAnsi="仿宋_GB2312" w:eastAsia="仿宋_GB2312" w:cs="仿宋_GB2312"/>
          <w:b/>
          <w:bCs/>
          <w:sz w:val="32"/>
          <w:szCs w:val="32"/>
        </w:rPr>
        <w:t>技术服务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7.1</w:t>
      </w:r>
      <w:r>
        <w:rPr>
          <w:rFonts w:hint="eastAsia" w:ascii="仿宋_GB2312" w:hAnsi="仿宋_GB2312" w:eastAsia="仿宋_GB2312" w:cs="仿宋_GB2312"/>
          <w:sz w:val="32"/>
          <w:szCs w:val="32"/>
        </w:rPr>
        <w:t>设备安装、调试</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7.2</w:t>
      </w:r>
      <w:r>
        <w:rPr>
          <w:rFonts w:hint="eastAsia" w:ascii="仿宋_GB2312" w:hAnsi="仿宋_GB2312" w:eastAsia="仿宋_GB2312" w:cs="仿宋_GB2312"/>
          <w:sz w:val="32"/>
          <w:szCs w:val="32"/>
        </w:rPr>
        <w:t>设备安装：设备到货后，卖方按照用户通知的日期选派经验丰富的专家负责安装，调试；</w:t>
      </w:r>
    </w:p>
    <w:p>
      <w:pPr>
        <w:spacing w:line="560" w:lineRule="exact"/>
        <w:ind w:firstLine="643" w:firstLineChars="200"/>
        <w:rPr>
          <w:rFonts w:hint="eastAsia" w:ascii="仿宋_GB2312" w:hAnsi="仿宋_GB2312" w:eastAsia="仿宋_GB2312" w:cs="仿宋_GB2312"/>
          <w:b/>
          <w:bCs/>
          <w:sz w:val="32"/>
          <w:szCs w:val="32"/>
        </w:rPr>
      </w:pPr>
      <w:r>
        <w:rPr>
          <w:rFonts w:hint="eastAsia" w:ascii="黑体" w:hAnsi="黑体" w:eastAsia="黑体" w:cs="仿宋_GB2312"/>
          <w:b/>
          <w:bCs/>
          <w:sz w:val="32"/>
          <w:szCs w:val="32"/>
        </w:rPr>
        <w:t>8.</w:t>
      </w:r>
      <w:r>
        <w:rPr>
          <w:rFonts w:hint="eastAsia" w:ascii="仿宋_GB2312" w:hAnsi="仿宋_GB2312" w:eastAsia="仿宋_GB2312" w:cs="仿宋_GB2312"/>
          <w:b/>
          <w:bCs/>
          <w:sz w:val="32"/>
          <w:szCs w:val="32"/>
        </w:rPr>
        <w:t>技术支持及售后服务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8.1</w:t>
      </w:r>
      <w:r>
        <w:rPr>
          <w:rFonts w:hint="eastAsia" w:ascii="仿宋_GB2312" w:hAnsi="仿宋_GB2312" w:eastAsia="仿宋_GB2312" w:cs="仿宋_GB2312"/>
          <w:sz w:val="32"/>
          <w:szCs w:val="32"/>
        </w:rPr>
        <w:t>合同签定一个月内投标方应提供设备安装、调试等必备的技术文件，以便买方能提前作好设备安装的准备工作。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8.2</w:t>
      </w:r>
      <w:r>
        <w:rPr>
          <w:rFonts w:hint="eastAsia" w:ascii="仿宋_GB2312" w:hAnsi="仿宋_GB2312" w:eastAsia="仿宋_GB2312" w:cs="仿宋_GB2312"/>
          <w:sz w:val="32"/>
          <w:szCs w:val="32"/>
        </w:rPr>
        <w:t>技术培训：仪器安装时进行2天的现场培训，内容包括仪器的技术原理、操作、数据处理、基本维护等；2人1周北京NMR技术培训 (免培训费；差旅及食宿自理）。</w:t>
      </w:r>
    </w:p>
    <w:p>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黑体" w:hAnsi="黑体" w:eastAsia="黑体" w:cs="仿宋_GB2312"/>
          <w:b/>
          <w:bCs/>
          <w:sz w:val="32"/>
          <w:szCs w:val="32"/>
        </w:rPr>
        <w:t>9.</w:t>
      </w:r>
      <w:r>
        <w:rPr>
          <w:rFonts w:hint="eastAsia" w:ascii="仿宋_GB2312" w:hAnsi="仿宋_GB2312" w:eastAsia="仿宋_GB2312" w:cs="仿宋_GB2312"/>
          <w:b/>
          <w:bCs/>
          <w:sz w:val="32"/>
          <w:szCs w:val="32"/>
        </w:rPr>
        <w:t>保修期及维修</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9.1</w:t>
      </w:r>
      <w:r>
        <w:rPr>
          <w:rFonts w:hint="eastAsia" w:ascii="仿宋_GB2312" w:hAnsi="仿宋_GB2312" w:eastAsia="仿宋_GB2312" w:cs="仿宋_GB2312"/>
          <w:sz w:val="32"/>
          <w:szCs w:val="32"/>
        </w:rPr>
        <w:t>保修期：主机和部件保修1年。</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9.2</w:t>
      </w:r>
      <w:r>
        <w:rPr>
          <w:rFonts w:hint="eastAsia" w:ascii="仿宋_GB2312" w:hAnsi="仿宋_GB2312" w:eastAsia="仿宋_GB2312" w:cs="仿宋_GB2312"/>
          <w:sz w:val="32"/>
          <w:szCs w:val="32"/>
        </w:rPr>
        <w:t>卖方在中国大陆应设有维修站。需提供负责售后服务的部门或单位的名称及联系方法以及维修人员的姓名和联系电话。</w:t>
      </w:r>
    </w:p>
    <w:p>
      <w:pPr>
        <w:spacing w:line="560" w:lineRule="exact"/>
        <w:ind w:firstLine="643" w:firstLineChars="200"/>
        <w:rPr>
          <w:rFonts w:hint="eastAsia" w:ascii="仿宋_GB2312" w:hAnsi="仿宋_GB2312" w:eastAsia="仿宋_GB2312" w:cs="仿宋_GB2312"/>
          <w:b/>
          <w:bCs/>
          <w:sz w:val="32"/>
          <w:szCs w:val="32"/>
        </w:rPr>
      </w:pPr>
      <w:r>
        <w:rPr>
          <w:rFonts w:hint="eastAsia" w:ascii="黑体" w:hAnsi="黑体" w:eastAsia="黑体" w:cs="仿宋_GB2312"/>
          <w:b/>
          <w:bCs/>
          <w:sz w:val="32"/>
          <w:szCs w:val="32"/>
        </w:rPr>
        <w:t>10.</w:t>
      </w:r>
      <w:r>
        <w:rPr>
          <w:rFonts w:hint="eastAsia" w:ascii="仿宋_GB2312" w:hAnsi="仿宋_GB2312" w:eastAsia="仿宋_GB2312" w:cs="仿宋_GB2312"/>
          <w:b/>
          <w:bCs/>
          <w:sz w:val="32"/>
          <w:szCs w:val="32"/>
        </w:rPr>
        <w:t>交货</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kern w:val="15"/>
          <w:sz w:val="32"/>
          <w:szCs w:val="32"/>
        </w:rPr>
        <w:t>10.1</w:t>
      </w:r>
      <w:r>
        <w:rPr>
          <w:rFonts w:hint="eastAsia" w:ascii="仿宋_GB2312" w:hAnsi="仿宋_GB2312" w:eastAsia="仿宋_GB2312" w:cs="仿宋_GB2312"/>
          <w:kern w:val="15"/>
          <w:sz w:val="32"/>
          <w:szCs w:val="32"/>
        </w:rPr>
        <w:t>运输方式：空运</w:t>
      </w:r>
    </w:p>
    <w:p>
      <w:pPr>
        <w:adjustRightInd w:val="0"/>
        <w:snapToGrid w:val="0"/>
        <w:spacing w:line="560" w:lineRule="exact"/>
        <w:ind w:firstLine="640" w:firstLineChars="200"/>
        <w:rPr>
          <w:rFonts w:hint="eastAsia" w:ascii="仿宋_GB2312" w:hAnsi="仿宋_GB2312" w:eastAsia="仿宋_GB2312" w:cs="仿宋_GB2312"/>
          <w:kern w:val="15"/>
          <w:sz w:val="32"/>
          <w:szCs w:val="32"/>
        </w:rPr>
      </w:pPr>
      <w:r>
        <w:rPr>
          <w:rFonts w:hint="eastAsia" w:ascii="黑体" w:hAnsi="黑体" w:eastAsia="黑体" w:cs="仿宋_GB2312"/>
          <w:sz w:val="32"/>
          <w:szCs w:val="32"/>
        </w:rPr>
        <w:t>10.2</w:t>
      </w:r>
      <w:r>
        <w:rPr>
          <w:rFonts w:hint="eastAsia" w:ascii="仿宋_GB2312" w:hAnsi="仿宋_GB2312" w:eastAsia="仿宋_GB2312" w:cs="仿宋_GB2312"/>
          <w:sz w:val="32"/>
          <w:szCs w:val="32"/>
        </w:rPr>
        <w:t>交货时间：合同生效后10个月内交货</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10.3</w:t>
      </w:r>
      <w:r>
        <w:rPr>
          <w:rFonts w:hint="eastAsia" w:ascii="仿宋_GB2312" w:hAnsi="仿宋_GB2312" w:eastAsia="仿宋_GB2312" w:cs="仿宋_GB2312"/>
          <w:sz w:val="32"/>
          <w:szCs w:val="32"/>
        </w:rPr>
        <w:t>交货地点：TBD</w:t>
      </w:r>
    </w:p>
    <w:p>
      <w:pPr>
        <w:spacing w:line="560" w:lineRule="exact"/>
        <w:rPr>
          <w:rFonts w:hint="eastAsia" w:ascii="黑体" w:hAnsi="黑体" w:eastAsia="黑体" w:cs="黑体"/>
          <w:sz w:val="32"/>
          <w:szCs w:val="32"/>
        </w:rPr>
      </w:pPr>
      <w:r>
        <w:rPr>
          <w:rFonts w:hint="eastAsia" w:ascii="黑体" w:hAnsi="黑体" w:eastAsia="黑体" w:cs="黑体"/>
          <w:sz w:val="32"/>
          <w:szCs w:val="32"/>
        </w:rPr>
        <w:t>二、采购需求</w:t>
      </w:r>
    </w:p>
    <w:p>
      <w:pPr>
        <w:spacing w:line="560" w:lineRule="exact"/>
        <w:ind w:firstLine="640" w:firstLineChars="200"/>
        <w:rPr>
          <w:rFonts w:hint="eastAsia" w:ascii="仿宋_GB2312" w:hAnsi="仿宋_GB2312" w:cs="仿宋_GB2312"/>
          <w:kern w:val="0"/>
          <w:sz w:val="32"/>
          <w:szCs w:val="32"/>
        </w:rPr>
      </w:pPr>
      <w:r>
        <w:rPr>
          <w:rFonts w:hint="eastAsia" w:ascii="仿宋_GB2312" w:hAnsi="仿宋_GB2312" w:eastAsia="仿宋_GB2312" w:cs="仿宋_GB2312"/>
          <w:kern w:val="0"/>
          <w:sz w:val="32"/>
          <w:szCs w:val="32"/>
        </w:rPr>
        <w:t>该设备可满足有生物化学、药物化学等方面的结构分析和性能研究，可用于蛋白质、多糖</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可溶性有机物等物质的分子结构和分子间相互作用研究；可进行氢、碳、氮的双共振实验</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是确定分子结构的必需设备。</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在结构生物学领域：1)研究生物高分子及其复合物在溶液中的三维结构和功能；2)研究动态的生物大分子之间以及与配基的相互作用；3)研究生物大分子的动态行为；4)研究膜蛋白的结构与功能；5) 研究蛋白质折叠、折叠动力学；6)用于药物筛选与设计；7)研究药物代谢组学；8)研究活细胞中的蛋白质-蛋白质相互作用。</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在药物结构研究领域，药物学和毒物学中可以用核磁共振波谱仪分析各种药物的分子结构，能准确定性定量分析药物。对药物进行准确定性和定量的分析，确认化合物结构。</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天然产物的结构分析和定量分析领域，由于天然产物，如中药里的有效成分，药物等天然物的产地差异，有效成分可能比较复杂，有的含量较低，所以需要高灵敏度，高分辨率的仪器，所以选用600M核磁能够具有更高的灵敏度和分辨率。同时，核磁特有的定量能力，即使没有天然产物的标准品，也可以进行非常准确的定量。</w:t>
      </w:r>
    </w:p>
    <w:p>
      <w:pPr>
        <w:spacing w:line="560" w:lineRule="exact"/>
        <w:rPr>
          <w:rFonts w:hint="eastAsia" w:ascii="黑体" w:hAnsi="黑体" w:eastAsia="黑体" w:cs="黑体"/>
          <w:sz w:val="32"/>
          <w:szCs w:val="32"/>
        </w:rPr>
      </w:pPr>
      <w:bookmarkStart w:id="1" w:name="_Hlk53567536"/>
      <w:r>
        <w:rPr>
          <w:rFonts w:hint="eastAsia" w:ascii="黑体" w:hAnsi="黑体" w:eastAsia="黑体" w:cs="黑体"/>
          <w:sz w:val="32"/>
          <w:szCs w:val="32"/>
        </w:rPr>
        <w:t>三、进口产品购置理由</w:t>
      </w:r>
    </w:p>
    <w:bookmarkEnd w:id="1"/>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核磁共振波谱仪具有快速、灵敏、准确等特点，它是医学、生物学、化学以及材料学等多学科研究物质成分、结构和动态强有力的常规工具。进口品牌能够提供300MHz</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1300MHz的所有类型核磁共振谱仪，而国内尚无商品化600MHz的核磁共振波谱仪，只有400MHz的设备，而400MHz远远达不到科学研究领域所需要的灵敏度和分辨率。与400MHz谱仪相比，600MHz谱仪具有更高的灵敏度、分辨率和测试效率。</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另外，国内生产的核磁共振波谱仪，采用的还是上一代国外已淘汰的技术。与进口的最新一代的谱仪相比，在灵敏度、准确度、液氮液氦的消耗方面，都有较大差距。譬如，1H的灵敏度，进口的为1000:1，而国内的为400:1。</w:t>
      </w:r>
    </w:p>
    <w:p>
      <w:pPr>
        <w:spacing w:line="560" w:lineRule="exact"/>
        <w:ind w:firstLine="640" w:firstLineChars="200"/>
        <w:rPr>
          <w:rFonts w:hint="eastAsia" w:ascii="仿宋_GB2312" w:hAnsi="仿宋_GB2312" w:cs="仿宋_GB2312" w:eastAsiaTheme="minorEastAsia"/>
          <w:kern w:val="0"/>
          <w:sz w:val="32"/>
          <w:szCs w:val="32"/>
        </w:rPr>
      </w:pPr>
      <w:r>
        <w:rPr>
          <w:rFonts w:hint="eastAsia" w:ascii="仿宋_GB2312" w:hAnsi="仿宋_GB2312" w:eastAsia="仿宋_GB2312" w:cs="仿宋_GB2312"/>
          <w:kern w:val="0"/>
          <w:sz w:val="32"/>
          <w:szCs w:val="32"/>
        </w:rPr>
        <w:t>加之，核磁共振波谱仪是用于分子结构鉴定的重要工具，对科研工作具有非常重要的作用。当前，国外期刊对进口设备的认可度较高，对国产谱仪还需较长的认可过程。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62"/>
    <w:rsid w:val="00801BC7"/>
    <w:rsid w:val="00807796"/>
    <w:rsid w:val="00FC7C62"/>
    <w:rsid w:val="0DF8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473</Words>
  <Characters>2699</Characters>
  <Lines>22</Lines>
  <Paragraphs>6</Paragraphs>
  <ScaleCrop>false</ScaleCrop>
  <LinksUpToDate>false</LinksUpToDate>
  <CharactersWithSpaces>3166</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2021-11-23T14:38:00Z</dcterms:created>
  <dc:creator>冯 岩</dc:creator>
  <cp:lastModifiedBy>Administrator</cp:lastModifiedBy>
  <dcterms:modified xsi:type="dcterms:W3CDTF">2021-11-24T05:02:56Z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