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75" w:beforeAutospacing="0" w:after="75" w:afterAutospacing="0"/>
        <w:ind w:left="0" w:right="0" w:firstLine="0"/>
        <w:jc w:val="center"/>
        <w:rPr>
          <w:rFonts w:ascii="宋体" w:hAnsi="宋体" w:eastAsia="宋体" w:cs="宋体"/>
          <w:b w:val="0"/>
          <w:i w:val="0"/>
          <w:caps w:val="0"/>
          <w:color w:val="000000"/>
          <w:spacing w:val="0"/>
          <w:sz w:val="27"/>
          <w:szCs w:val="27"/>
        </w:rPr>
      </w:pPr>
      <w:r>
        <w:rPr>
          <w:rStyle w:val="8"/>
          <w:rFonts w:hint="eastAsia" w:ascii="宋体" w:hAnsi="宋体" w:eastAsia="宋体" w:cs="宋体"/>
          <w:i w:val="0"/>
          <w:caps w:val="0"/>
          <w:color w:val="000000"/>
          <w:spacing w:val="0"/>
          <w:sz w:val="72"/>
          <w:szCs w:val="72"/>
        </w:rPr>
        <w:t>福建省政府采购</w:t>
      </w:r>
    </w:p>
    <w:p>
      <w:pPr>
        <w:pStyle w:val="6"/>
        <w:keepNext w:val="0"/>
        <w:keepLines w:val="0"/>
        <w:widowControl/>
        <w:suppressLineNumbers w:val="0"/>
        <w:spacing w:before="75" w:beforeAutospacing="0" w:after="75" w:afterAutospacing="0"/>
        <w:ind w:left="0" w:right="0" w:firstLine="0"/>
        <w:jc w:val="center"/>
        <w:rPr>
          <w:rFonts w:hint="eastAsia" w:ascii="宋体" w:hAnsi="宋体" w:eastAsia="宋体" w:cs="宋体"/>
          <w:b w:val="0"/>
          <w:i w:val="0"/>
          <w:caps w:val="0"/>
          <w:color w:val="000000"/>
          <w:spacing w:val="0"/>
          <w:sz w:val="27"/>
          <w:szCs w:val="27"/>
        </w:rPr>
      </w:pPr>
      <w:r>
        <w:rPr>
          <w:rStyle w:val="8"/>
          <w:rFonts w:hint="eastAsia" w:ascii="宋体" w:hAnsi="宋体" w:eastAsia="宋体" w:cs="宋体"/>
          <w:i w:val="0"/>
          <w:caps w:val="0"/>
          <w:color w:val="000000"/>
          <w:spacing w:val="0"/>
          <w:sz w:val="72"/>
          <w:szCs w:val="72"/>
        </w:rPr>
        <w:t>货物和服务项目</w:t>
      </w:r>
    </w:p>
    <w:p>
      <w:pPr>
        <w:pStyle w:val="6"/>
        <w:keepNext w:val="0"/>
        <w:keepLines w:val="0"/>
        <w:widowControl/>
        <w:suppressLineNumbers w:val="0"/>
        <w:spacing w:before="75" w:beforeAutospacing="0" w:after="75" w:afterAutospacing="0"/>
        <w:ind w:left="0" w:right="0" w:firstLine="0"/>
        <w:jc w:val="center"/>
        <w:rPr>
          <w:rFonts w:hint="eastAsia" w:ascii="宋体" w:hAnsi="宋体" w:eastAsia="宋体" w:cs="宋体"/>
          <w:b w:val="0"/>
          <w:i w:val="0"/>
          <w:caps w:val="0"/>
          <w:color w:val="000000"/>
          <w:spacing w:val="0"/>
          <w:sz w:val="27"/>
          <w:szCs w:val="27"/>
        </w:rPr>
      </w:pPr>
      <w:r>
        <w:rPr>
          <w:rStyle w:val="8"/>
          <w:rFonts w:hint="eastAsia" w:ascii="宋体" w:hAnsi="宋体" w:eastAsia="宋体" w:cs="宋体"/>
          <w:i w:val="0"/>
          <w:caps w:val="0"/>
          <w:color w:val="000000"/>
          <w:spacing w:val="0"/>
          <w:sz w:val="72"/>
          <w:szCs w:val="72"/>
        </w:rPr>
        <w:t>公开招标文件</w:t>
      </w: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b w:val="0"/>
          <w:i w:val="0"/>
          <w:caps w:val="0"/>
          <w:color w:val="000000"/>
          <w:spacing w:val="0"/>
          <w:sz w:val="27"/>
          <w:szCs w:val="27"/>
        </w:rPr>
      </w:pPr>
      <w:r>
        <w:rPr>
          <w:rStyle w:val="8"/>
          <w:rFonts w:hint="eastAsia" w:ascii="宋体" w:hAnsi="宋体" w:eastAsia="宋体" w:cs="宋体"/>
          <w:i w:val="0"/>
          <w:caps w:val="0"/>
          <w:color w:val="000000"/>
          <w:spacing w:val="0"/>
          <w:sz w:val="72"/>
          <w:szCs w:val="72"/>
        </w:rPr>
        <w:t>     </w:t>
      </w:r>
    </w:p>
    <w:p>
      <w:pPr>
        <w:pStyle w:val="6"/>
        <w:keepNext w:val="0"/>
        <w:keepLines w:val="0"/>
        <w:widowControl/>
        <w:suppressLineNumbers w:val="0"/>
        <w:spacing w:before="75" w:beforeAutospacing="0" w:after="75" w:afterAutospacing="0"/>
        <w:ind w:left="0" w:right="0" w:firstLine="0"/>
        <w:jc w:val="center"/>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4"/>
          <w:szCs w:val="24"/>
        </w:rPr>
        <w:t> </w:t>
      </w: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4"/>
          <w:szCs w:val="24"/>
        </w:rPr>
        <w:t> </w:t>
      </w: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b w:val="0"/>
          <w:i w:val="0"/>
          <w:caps w:val="0"/>
          <w:color w:val="000000"/>
          <w:spacing w:val="0"/>
          <w:sz w:val="27"/>
          <w:szCs w:val="27"/>
        </w:rPr>
      </w:pPr>
      <w:r>
        <w:rPr>
          <w:rStyle w:val="8"/>
          <w:rFonts w:hint="eastAsia" w:ascii="宋体" w:hAnsi="宋体" w:eastAsia="宋体" w:cs="宋体"/>
          <w:i w:val="0"/>
          <w:caps w:val="0"/>
          <w:color w:val="000000"/>
          <w:spacing w:val="0"/>
          <w:sz w:val="36"/>
          <w:szCs w:val="36"/>
        </w:rPr>
        <w:t> </w:t>
      </w: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4"/>
          <w:szCs w:val="24"/>
        </w:rPr>
        <w:t> </w:t>
      </w:r>
    </w:p>
    <w:p>
      <w:pPr>
        <w:pStyle w:val="6"/>
        <w:keepNext w:val="0"/>
        <w:keepLines w:val="0"/>
        <w:widowControl/>
        <w:suppressLineNumbers w:val="0"/>
        <w:spacing w:before="75" w:beforeAutospacing="0" w:after="75" w:afterAutospacing="0"/>
        <w:ind w:right="0"/>
        <w:jc w:val="center"/>
        <w:rPr>
          <w:rFonts w:hint="eastAsia" w:ascii="宋体" w:hAnsi="宋体" w:eastAsia="宋体" w:cs="宋体"/>
          <w:b w:val="0"/>
          <w:i w:val="0"/>
          <w:caps w:val="0"/>
          <w:color w:val="000000"/>
          <w:spacing w:val="0"/>
          <w:sz w:val="27"/>
          <w:szCs w:val="27"/>
        </w:rPr>
      </w:pPr>
      <w:r>
        <w:rPr>
          <w:rStyle w:val="8"/>
          <w:rFonts w:hint="eastAsia" w:ascii="宋体" w:hAnsi="宋体" w:eastAsia="宋体" w:cs="宋体"/>
          <w:i w:val="0"/>
          <w:caps w:val="0"/>
          <w:color w:val="000000"/>
          <w:spacing w:val="0"/>
          <w:sz w:val="30"/>
          <w:szCs w:val="30"/>
        </w:rPr>
        <w:t>项目名称：</w:t>
      </w:r>
      <w:bookmarkStart w:id="0" w:name="_GoBack"/>
      <w:r>
        <w:rPr>
          <w:rStyle w:val="8"/>
          <w:rFonts w:hint="eastAsia" w:ascii="宋体" w:hAnsi="宋体" w:eastAsia="宋体" w:cs="宋体"/>
          <w:i w:val="0"/>
          <w:caps w:val="0"/>
          <w:color w:val="000000"/>
          <w:spacing w:val="0"/>
          <w:sz w:val="30"/>
          <w:szCs w:val="30"/>
        </w:rPr>
        <w:t>福建医科大学附属第三医院信息化建设采购项目</w:t>
      </w:r>
      <w:bookmarkEnd w:id="0"/>
    </w:p>
    <w:p>
      <w:pPr>
        <w:pStyle w:val="6"/>
        <w:keepNext w:val="0"/>
        <w:keepLines w:val="0"/>
        <w:widowControl/>
        <w:suppressLineNumbers w:val="0"/>
        <w:spacing w:before="75" w:beforeAutospacing="0" w:after="75" w:afterAutospacing="0"/>
        <w:ind w:left="0" w:right="0" w:firstLine="0"/>
        <w:jc w:val="center"/>
        <w:rPr>
          <w:rFonts w:hint="eastAsia" w:ascii="宋体" w:hAnsi="宋体" w:eastAsia="宋体" w:cs="宋体"/>
          <w:b w:val="0"/>
          <w:i w:val="0"/>
          <w:caps w:val="0"/>
          <w:color w:val="000000"/>
          <w:spacing w:val="0"/>
          <w:sz w:val="27"/>
          <w:szCs w:val="27"/>
        </w:rPr>
      </w:pPr>
    </w:p>
    <w:p>
      <w:pPr>
        <w:pStyle w:val="6"/>
        <w:keepNext w:val="0"/>
        <w:keepLines w:val="0"/>
        <w:widowControl/>
        <w:suppressLineNumbers w:val="0"/>
        <w:spacing w:before="75" w:beforeAutospacing="0" w:after="75" w:afterAutospacing="0"/>
        <w:ind w:left="0" w:right="0" w:firstLine="1050"/>
        <w:jc w:val="center"/>
        <w:rPr>
          <w:rFonts w:hint="eastAsia" w:ascii="宋体" w:hAnsi="宋体" w:eastAsia="宋体" w:cs="宋体"/>
          <w:b w:val="0"/>
          <w:i w:val="0"/>
          <w:caps w:val="0"/>
          <w:color w:val="000000"/>
          <w:spacing w:val="0"/>
          <w:sz w:val="27"/>
          <w:szCs w:val="27"/>
        </w:rPr>
      </w:pPr>
      <w:r>
        <w:rPr>
          <w:rStyle w:val="8"/>
          <w:rFonts w:hint="eastAsia" w:ascii="宋体" w:hAnsi="宋体" w:eastAsia="宋体" w:cs="宋体"/>
          <w:i w:val="0"/>
          <w:caps w:val="0"/>
          <w:color w:val="000000"/>
          <w:spacing w:val="0"/>
          <w:sz w:val="30"/>
          <w:szCs w:val="30"/>
        </w:rPr>
        <w:t>备案编号：K-YKU-GK-201808-B2245-0624</w:t>
      </w:r>
    </w:p>
    <w:p>
      <w:pPr>
        <w:pStyle w:val="6"/>
        <w:keepNext w:val="0"/>
        <w:keepLines w:val="0"/>
        <w:widowControl/>
        <w:suppressLineNumbers w:val="0"/>
        <w:spacing w:before="75" w:beforeAutospacing="0" w:after="75" w:afterAutospacing="0"/>
        <w:ind w:left="0" w:right="0" w:firstLine="0"/>
        <w:jc w:val="center"/>
        <w:rPr>
          <w:rFonts w:hint="eastAsia" w:ascii="宋体" w:hAnsi="宋体" w:eastAsia="宋体" w:cs="宋体"/>
          <w:b w:val="0"/>
          <w:i w:val="0"/>
          <w:caps w:val="0"/>
          <w:color w:val="000000"/>
          <w:spacing w:val="0"/>
          <w:sz w:val="27"/>
          <w:szCs w:val="27"/>
        </w:rPr>
      </w:pPr>
    </w:p>
    <w:p>
      <w:pPr>
        <w:pStyle w:val="6"/>
        <w:keepNext w:val="0"/>
        <w:keepLines w:val="0"/>
        <w:widowControl/>
        <w:suppressLineNumbers w:val="0"/>
        <w:spacing w:before="75" w:beforeAutospacing="0" w:after="75" w:afterAutospacing="0"/>
        <w:ind w:left="0" w:right="0" w:firstLine="1050"/>
        <w:jc w:val="center"/>
        <w:rPr>
          <w:rFonts w:hint="eastAsia" w:ascii="宋体" w:hAnsi="宋体" w:eastAsia="宋体" w:cs="宋体"/>
          <w:b w:val="0"/>
          <w:i w:val="0"/>
          <w:caps w:val="0"/>
          <w:color w:val="000000"/>
          <w:spacing w:val="0"/>
          <w:sz w:val="27"/>
          <w:szCs w:val="27"/>
        </w:rPr>
      </w:pPr>
      <w:r>
        <w:rPr>
          <w:rStyle w:val="8"/>
          <w:rFonts w:hint="eastAsia" w:ascii="宋体" w:hAnsi="宋体" w:eastAsia="宋体" w:cs="宋体"/>
          <w:i w:val="0"/>
          <w:caps w:val="0"/>
          <w:color w:val="000000"/>
          <w:spacing w:val="0"/>
          <w:sz w:val="30"/>
          <w:szCs w:val="30"/>
        </w:rPr>
        <w:t>招标编号：[3500]0624[GK]2018030</w:t>
      </w:r>
    </w:p>
    <w:p>
      <w:pPr>
        <w:pStyle w:val="6"/>
        <w:keepNext w:val="0"/>
        <w:keepLines w:val="0"/>
        <w:widowControl/>
        <w:suppressLineNumbers w:val="0"/>
        <w:spacing w:before="75" w:beforeAutospacing="0" w:after="75" w:afterAutospacing="0"/>
        <w:ind w:left="0" w:right="0" w:firstLine="0"/>
        <w:jc w:val="center"/>
        <w:rPr>
          <w:rFonts w:hint="eastAsia" w:ascii="宋体" w:hAnsi="宋体" w:eastAsia="宋体" w:cs="宋体"/>
          <w:b w:val="0"/>
          <w:i w:val="0"/>
          <w:caps w:val="0"/>
          <w:color w:val="000000"/>
          <w:spacing w:val="0"/>
          <w:sz w:val="27"/>
          <w:szCs w:val="27"/>
        </w:rPr>
      </w:pPr>
    </w:p>
    <w:p>
      <w:pPr>
        <w:pStyle w:val="6"/>
        <w:keepNext w:val="0"/>
        <w:keepLines w:val="0"/>
        <w:widowControl/>
        <w:suppressLineNumbers w:val="0"/>
        <w:spacing w:before="75" w:beforeAutospacing="0" w:after="75" w:afterAutospacing="0"/>
        <w:ind w:left="0" w:right="0" w:firstLine="0"/>
        <w:jc w:val="center"/>
        <w:rPr>
          <w:rFonts w:hint="eastAsia" w:ascii="宋体" w:hAnsi="宋体" w:eastAsia="宋体" w:cs="宋体"/>
          <w:b w:val="0"/>
          <w:i w:val="0"/>
          <w:caps w:val="0"/>
          <w:color w:val="000000"/>
          <w:spacing w:val="0"/>
          <w:sz w:val="27"/>
          <w:szCs w:val="27"/>
        </w:rPr>
      </w:pPr>
    </w:p>
    <w:p>
      <w:pPr>
        <w:pStyle w:val="6"/>
        <w:keepNext w:val="0"/>
        <w:keepLines w:val="0"/>
        <w:widowControl/>
        <w:suppressLineNumbers w:val="0"/>
        <w:spacing w:before="75" w:beforeAutospacing="0" w:after="75" w:afterAutospacing="0"/>
        <w:ind w:left="0" w:right="0" w:firstLine="0"/>
        <w:jc w:val="center"/>
        <w:rPr>
          <w:rFonts w:hint="eastAsia" w:ascii="宋体" w:hAnsi="宋体" w:eastAsia="宋体" w:cs="宋体"/>
          <w:b w:val="0"/>
          <w:i w:val="0"/>
          <w:caps w:val="0"/>
          <w:color w:val="000000"/>
          <w:spacing w:val="0"/>
          <w:sz w:val="27"/>
          <w:szCs w:val="27"/>
        </w:rPr>
      </w:pPr>
      <w:r>
        <w:rPr>
          <w:rStyle w:val="8"/>
          <w:rFonts w:hint="eastAsia" w:ascii="宋体" w:hAnsi="宋体" w:eastAsia="宋体" w:cs="宋体"/>
          <w:i w:val="0"/>
          <w:caps w:val="0"/>
          <w:color w:val="000000"/>
          <w:spacing w:val="0"/>
          <w:sz w:val="27"/>
          <w:szCs w:val="27"/>
        </w:rPr>
        <w:t>采购人：</w:t>
      </w:r>
      <w:r>
        <w:rPr>
          <w:rFonts w:hint="eastAsia" w:ascii="宋体" w:hAnsi="宋体" w:eastAsia="宋体" w:cs="宋体"/>
          <w:b w:val="0"/>
          <w:i w:val="0"/>
          <w:caps w:val="0"/>
          <w:color w:val="000000"/>
          <w:spacing w:val="0"/>
          <w:sz w:val="27"/>
          <w:szCs w:val="27"/>
        </w:rPr>
        <w:t> </w:t>
      </w:r>
      <w:r>
        <w:rPr>
          <w:rStyle w:val="8"/>
          <w:rFonts w:hint="eastAsia" w:ascii="宋体" w:hAnsi="宋体" w:eastAsia="宋体" w:cs="宋体"/>
          <w:i w:val="0"/>
          <w:caps w:val="0"/>
          <w:color w:val="000000"/>
          <w:spacing w:val="0"/>
          <w:sz w:val="28"/>
          <w:szCs w:val="28"/>
        </w:rPr>
        <w:t>福建医科大学</w:t>
      </w:r>
    </w:p>
    <w:p>
      <w:pPr>
        <w:pStyle w:val="6"/>
        <w:keepNext w:val="0"/>
        <w:keepLines w:val="0"/>
        <w:widowControl/>
        <w:suppressLineNumbers w:val="0"/>
        <w:spacing w:before="75" w:beforeAutospacing="0" w:after="75" w:afterAutospacing="0"/>
        <w:ind w:left="0" w:right="0" w:firstLine="0"/>
        <w:jc w:val="center"/>
        <w:rPr>
          <w:rFonts w:hint="eastAsia" w:ascii="宋体" w:hAnsi="宋体" w:eastAsia="宋体" w:cs="宋体"/>
          <w:b w:val="0"/>
          <w:i w:val="0"/>
          <w:caps w:val="0"/>
          <w:color w:val="000000"/>
          <w:spacing w:val="0"/>
          <w:sz w:val="27"/>
          <w:szCs w:val="27"/>
        </w:rPr>
      </w:pPr>
      <w:r>
        <w:rPr>
          <w:rStyle w:val="8"/>
          <w:rFonts w:hint="eastAsia" w:ascii="宋体" w:hAnsi="宋体" w:eastAsia="宋体" w:cs="宋体"/>
          <w:i w:val="0"/>
          <w:caps w:val="0"/>
          <w:color w:val="000000"/>
          <w:spacing w:val="0"/>
          <w:sz w:val="28"/>
          <w:szCs w:val="28"/>
        </w:rPr>
        <w:t>代理机构：福建省机电设备招标有限公司</w:t>
      </w:r>
    </w:p>
    <w:p>
      <w:pPr>
        <w:pStyle w:val="6"/>
        <w:keepNext w:val="0"/>
        <w:keepLines w:val="0"/>
        <w:widowControl/>
        <w:suppressLineNumbers w:val="0"/>
        <w:spacing w:before="75" w:beforeAutospacing="0" w:after="75" w:afterAutospacing="0"/>
        <w:ind w:left="0" w:right="0" w:firstLine="0"/>
        <w:jc w:val="center"/>
        <w:rPr>
          <w:rFonts w:hint="eastAsia" w:ascii="宋体" w:hAnsi="宋体" w:eastAsia="宋体" w:cs="宋体"/>
          <w:b w:val="0"/>
          <w:i w:val="0"/>
          <w:caps w:val="0"/>
          <w:color w:val="000000"/>
          <w:spacing w:val="0"/>
          <w:sz w:val="27"/>
          <w:szCs w:val="27"/>
        </w:rPr>
      </w:pPr>
    </w:p>
    <w:p>
      <w:pPr>
        <w:pStyle w:val="6"/>
        <w:keepNext w:val="0"/>
        <w:keepLines w:val="0"/>
        <w:widowControl/>
        <w:suppressLineNumbers w:val="0"/>
        <w:spacing w:before="75" w:beforeAutospacing="0" w:after="75" w:afterAutospacing="0" w:line="360" w:lineRule="atLeast"/>
        <w:ind w:left="0" w:right="720" w:firstLine="0"/>
        <w:jc w:val="center"/>
        <w:rPr>
          <w:rFonts w:hint="eastAsia" w:ascii="宋体" w:hAnsi="宋体" w:eastAsia="宋体" w:cs="宋体"/>
          <w:b w:val="0"/>
          <w:i w:val="0"/>
          <w:caps w:val="0"/>
          <w:color w:val="000000"/>
          <w:spacing w:val="0"/>
          <w:sz w:val="27"/>
          <w:szCs w:val="27"/>
        </w:rPr>
      </w:pPr>
      <w:r>
        <w:rPr>
          <w:rStyle w:val="8"/>
          <w:rFonts w:hint="eastAsia" w:ascii="宋体" w:hAnsi="宋体" w:eastAsia="宋体" w:cs="宋体"/>
          <w:i w:val="0"/>
          <w:caps w:val="0"/>
          <w:color w:val="000000"/>
          <w:spacing w:val="0"/>
          <w:sz w:val="28"/>
          <w:szCs w:val="28"/>
        </w:rPr>
        <w:t>2018年09月</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第一章</w:t>
      </w:r>
      <w:r>
        <w:rPr>
          <w:rStyle w:val="8"/>
          <w:spacing w:val="0"/>
          <w:sz w:val="31"/>
          <w:szCs w:val="31"/>
        </w:rPr>
        <w:t>   </w:t>
      </w:r>
      <w:r>
        <w:rPr>
          <w:rStyle w:val="8"/>
          <w:rFonts w:hint="eastAsia" w:ascii="宋体" w:hAnsi="宋体" w:eastAsia="宋体" w:cs="宋体"/>
          <w:spacing w:val="0"/>
          <w:sz w:val="31"/>
          <w:szCs w:val="31"/>
        </w:rPr>
        <w:t>投标邀请</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福建医科大学附属第三医院信息化建设采购项目</w:t>
      </w:r>
      <w:r>
        <w:rPr>
          <w:rFonts w:hint="eastAsia" w:ascii="宋体" w:hAnsi="宋体" w:eastAsia="宋体" w:cs="宋体"/>
          <w:spacing w:val="0"/>
          <w:sz w:val="24"/>
          <w:szCs w:val="24"/>
        </w:rPr>
        <w:t>（以下简称：“本项目”）的政府采购活动，现邀请供应商参加投标。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K-YKU-GK-201808-B2245-0624</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2、招标编号：</w:t>
      </w:r>
      <w:r>
        <w:rPr>
          <w:rFonts w:hint="eastAsia" w:ascii="宋体" w:hAnsi="宋体" w:eastAsia="宋体" w:cs="宋体"/>
          <w:spacing w:val="0"/>
          <w:sz w:val="24"/>
          <w:szCs w:val="24"/>
          <w:u w:val="single"/>
        </w:rPr>
        <w:t>[3500]0624[GK]2018030</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a、根据《政府采购促进中小企业发展暂行办法》（财库[2011]181号）文件的规定。b、根据财政部、司法部联合印发《关于政府采购支持监狱企业发展有关问题的通知》（财库【2014】68号）文件规定。c、符合财政部、国家发展和改革委员会最新公布的《节能产品政府采购清单》、国家环保总局和财政部联合发布的《环境标志产品政府采购清单》内的产品的政策规定。d、按照《政府采购货物和服务招标投标管理办法》（财政部令第87号）及《财政部 民政部 中国残疾人联合会关于促进残疾人就业政府采购政策的通知》(财库[2017]141号）相关规定组织实施采购活动。6、投标人的资格要求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包：1</w:t>
      </w:r>
    </w:p>
    <w:tbl>
      <w:tblPr>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3737" w:type="dxa"/>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4568" w:type="dxa"/>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3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4568"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3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4568"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※根据上述资格要求，投标文件中应提交的“投标人的资格及资信证明文件”详见招标文件第四章。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7、报名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7.1报名期限：详见招标公告或更正公告（若有），若不一致，以更正公告（若有）为准。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报名期限内，供应商应通过福建省政府采购网上公开信息系统的注册会员账号（免费注册）对本项目进行报名(请根据项目所在地，登录对应的福建省政府采购网上公开信息系统报名(即省本级网址/地市分网))，否则</w:t>
      </w:r>
      <w:r>
        <w:rPr>
          <w:rStyle w:val="8"/>
          <w:rFonts w:hint="eastAsia" w:ascii="宋体" w:hAnsi="宋体" w:eastAsia="宋体" w:cs="宋体"/>
          <w:spacing w:val="0"/>
          <w:sz w:val="24"/>
          <w:szCs w:val="24"/>
        </w:rPr>
        <w:t>投标将被拒绝。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8、招标文件的获取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8.1招标文件提供期限：详见招标公告或更正公告（若有），若不一致，以更正公告（若有）为准。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8.2获取地点及方式：报名后，通过福建省政府采购网上公开信息系统以下载方式获取。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8.3、招标文件售价：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9、投标截止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9.1投标截止时间：详见招标公告或更正公告（若有），若不一致，以更正公告（若有）为准。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9.2投标人应在投标截止时间前按照福建省政府采购网上公开信息系统设定的操作流程将电子投标文件上传至福建省政府采购网上公开信息系统，同时将</w:t>
      </w:r>
      <w:r>
        <w:rPr>
          <w:rStyle w:val="8"/>
          <w:rFonts w:hint="eastAsia" w:ascii="宋体" w:hAnsi="宋体" w:eastAsia="宋体" w:cs="宋体"/>
          <w:spacing w:val="0"/>
          <w:sz w:val="24"/>
          <w:szCs w:val="24"/>
        </w:rPr>
        <w:t>投标人的CA证书</w:t>
      </w:r>
      <w:r>
        <w:rPr>
          <w:rFonts w:hint="eastAsia" w:ascii="宋体" w:hAnsi="宋体" w:eastAsia="宋体" w:cs="宋体"/>
          <w:spacing w:val="0"/>
          <w:sz w:val="24"/>
          <w:szCs w:val="24"/>
        </w:rPr>
        <w:t>连同</w:t>
      </w:r>
      <w:r>
        <w:rPr>
          <w:rStyle w:val="8"/>
          <w:rFonts w:hint="eastAsia" w:ascii="宋体" w:hAnsi="宋体" w:eastAsia="宋体" w:cs="宋体"/>
          <w:spacing w:val="0"/>
          <w:sz w:val="24"/>
          <w:szCs w:val="24"/>
        </w:rPr>
        <w:t>密封的纸质投标文件</w:t>
      </w:r>
      <w:r>
        <w:rPr>
          <w:rFonts w:hint="eastAsia" w:ascii="宋体" w:hAnsi="宋体" w:eastAsia="宋体" w:cs="宋体"/>
          <w:spacing w:val="0"/>
          <w:sz w:val="24"/>
          <w:szCs w:val="24"/>
        </w:rPr>
        <w:t>送达招标文件第一章第10条载明的地点，否则</w:t>
      </w:r>
      <w:r>
        <w:rPr>
          <w:rStyle w:val="8"/>
          <w:rFonts w:hint="eastAsia" w:ascii="宋体" w:hAnsi="宋体" w:eastAsia="宋体" w:cs="宋体"/>
          <w:spacing w:val="0"/>
          <w:sz w:val="24"/>
          <w:szCs w:val="24"/>
        </w:rPr>
        <w:t>投标将被拒绝。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10、开标时间及地点：详见招标公告或更正公告（若有），若不一致，以更正公告（若有）为准。</w:t>
      </w:r>
      <w:r>
        <w:rPr>
          <w:rStyle w:val="8"/>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11、公告期限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11.2招标文件公告期限：招标文件随同招标公告一并发布，其公告期限与本章第</w:t>
      </w:r>
      <w:r>
        <w:rPr>
          <w:rFonts w:hint="default" w:ascii="Times New Roman" w:hAnsi="Times New Roman" w:cs="Times New Roman"/>
          <w:spacing w:val="0"/>
          <w:sz w:val="24"/>
          <w:szCs w:val="24"/>
        </w:rPr>
        <w:t>11.1</w:t>
      </w:r>
      <w:r>
        <w:rPr>
          <w:rFonts w:hint="eastAsia" w:ascii="宋体" w:hAnsi="宋体" w:eastAsia="宋体" w:cs="宋体"/>
          <w:spacing w:val="0"/>
          <w:sz w:val="24"/>
          <w:szCs w:val="24"/>
        </w:rPr>
        <w:t>条载明的期限保持一致。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12、采购人：福建医科大学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地址：福建省福州市大学新区学府北路1号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联系方法：13328266389</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13、代理机构：福建省机电设备招标有限公司</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地址：福州市鼓楼区洪山园路68号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联系方法：0591-28360884</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W w:w="11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1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8"/>
                <w:rFonts w:hint="eastAsia" w:ascii="宋体" w:hAnsi="宋体" w:eastAsia="宋体" w:cs="宋体"/>
                <w:spacing w:val="0"/>
                <w:sz w:val="24"/>
                <w:szCs w:val="24"/>
              </w:rPr>
              <w:t>投标保证金账户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福建省机电设备招标有限公司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spacing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8"/>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2、投标人在转账或电汇的凭证上应按照以下格式注明，以便核对：“（招标编号：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、合同包：</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48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jc w:val="right"/>
      </w:pPr>
      <w:r>
        <w:rPr>
          <w:rFonts w:hint="eastAsia" w:ascii="宋体" w:hAnsi="宋体" w:eastAsia="宋体" w:cs="宋体"/>
        </w:rPr>
        <w:t>金额单位：人民币元</w:t>
      </w:r>
    </w:p>
    <w:tbl>
      <w:tblPr>
        <w:tblW w:w="829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15"/>
        <w:gridCol w:w="915"/>
        <w:gridCol w:w="1838"/>
        <w:gridCol w:w="915"/>
        <w:gridCol w:w="915"/>
        <w:gridCol w:w="915"/>
        <w:gridCol w:w="976"/>
        <w:gridCol w:w="9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91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91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83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91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91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91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9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9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91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5498" w:type="dxa"/>
            <w:gridSpan w:val="5"/>
            <w:tcBorders>
              <w:top w:val="outset" w:color="auto" w:sz="6" w:space="0"/>
              <w:left w:val="outset" w:color="auto" w:sz="6" w:space="0"/>
              <w:bottom w:val="outset" w:color="auto" w:sz="6" w:space="0"/>
              <w:right w:val="outset" w:color="auto" w:sz="6" w:space="0"/>
            </w:tcBorders>
            <w:shd w:val="clear"/>
            <w:vAlign w:val="center"/>
          </w:tcPr>
          <w:tbl>
            <w:tblPr>
              <w:tblW w:w="5467" w:type="dxa"/>
              <w:jc w:val="center"/>
              <w:tblInd w:w="2"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08"/>
              <w:gridCol w:w="1620"/>
              <w:gridCol w:w="707"/>
              <w:gridCol w:w="736"/>
              <w:gridCol w:w="169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计算机软件</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8,670,000.0000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HIS/EMR数据库服务器</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PACS数据库及应用服务器</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虚拟化服务器</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960,000.0000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SAN光纤交换机</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服务器区接入交换机</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1-7</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DMZ、运维、外网交换机</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24,000.0000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1-8</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关键业务存储设备</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1-9</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PACS影像存储设备</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1-10</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防火墙</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1-11</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准入系统设备</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1-12</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堡垒机</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1-13</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数据库审计设备</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90,000.0000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1-14</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台式计算机</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150（台）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750,000.0000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1-15</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台式计算机</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1-16</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条码打印机</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1-17</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条码扫描器</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112（台）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1-18</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针式打印机</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1-19</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黑白激光打印机</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30（台）</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1-20</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读卡器</w:t>
                  </w:r>
                </w:p>
              </w:tc>
              <w:tc>
                <w:tcPr>
                  <w:tcW w:w="7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50（个）</w:t>
                  </w:r>
                </w:p>
              </w:tc>
              <w:tc>
                <w:tcPr>
                  <w:tcW w:w="1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30,000.0000</w:t>
                  </w:r>
                </w:p>
              </w:tc>
            </w:tr>
          </w:tbl>
          <w:p>
            <w:pPr>
              <w:jc w:val="center"/>
            </w:pPr>
          </w:p>
        </w:tc>
        <w:tc>
          <w:tcPr>
            <w:tcW w:w="9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12766000</w:t>
            </w:r>
          </w:p>
        </w:tc>
        <w:tc>
          <w:tcPr>
            <w:tcW w:w="9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250000</w:t>
            </w:r>
          </w:p>
        </w:tc>
      </w:tr>
    </w:tbl>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第二章</w:t>
      </w:r>
      <w:r>
        <w:rPr>
          <w:rStyle w:val="8"/>
          <w:spacing w:val="0"/>
          <w:sz w:val="31"/>
          <w:szCs w:val="31"/>
        </w:rPr>
        <w:t>   </w:t>
      </w:r>
      <w:r>
        <w:rPr>
          <w:rStyle w:val="8"/>
          <w:rFonts w:hint="eastAsia" w:ascii="宋体" w:hAnsi="宋体" w:eastAsia="宋体" w:cs="宋体"/>
          <w:spacing w:val="0"/>
          <w:sz w:val="31"/>
          <w:szCs w:val="31"/>
        </w:rPr>
        <w:t>投标人须知前附表（表1、</w:t>
      </w:r>
      <w:r>
        <w:rPr>
          <w:rStyle w:val="8"/>
          <w:rFonts w:hint="default" w:ascii="Times New Roman" w:hAnsi="Times New Roman" w:cs="Times New Roman"/>
          <w:spacing w:val="0"/>
          <w:sz w:val="31"/>
          <w:szCs w:val="31"/>
        </w:rPr>
        <w:t>2</w:t>
      </w:r>
      <w:r>
        <w:rPr>
          <w:rStyle w:val="8"/>
          <w:rFonts w:hint="eastAsia" w:ascii="宋体" w:hAnsi="宋体" w:eastAsia="宋体" w:cs="宋体"/>
          <w:spacing w:val="0"/>
          <w:sz w:val="31"/>
          <w:szCs w:val="31"/>
        </w:rPr>
        <w:t>）</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w:t>
      </w:r>
      <w:r>
        <w:rPr>
          <w:spacing w:val="0"/>
          <w:sz w:val="24"/>
          <w:szCs w:val="24"/>
        </w:rPr>
        <w:t>1</w:t>
      </w:r>
    </w:p>
    <w:tbl>
      <w:tblPr>
        <w:tblW w:w="857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642"/>
        <w:gridCol w:w="1412"/>
        <w:gridCol w:w="65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8516" w:type="dxa"/>
            <w:gridSpan w:val="3"/>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8"/>
                <w:rFonts w:hint="eastAsia" w:ascii="宋体" w:hAnsi="宋体" w:eastAsia="宋体" w:cs="宋体"/>
                <w:spacing w:val="0"/>
                <w:sz w:val="24"/>
                <w:szCs w:val="24"/>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13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647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3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647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是否组织现场考察或召开开标前答疑会：</w:t>
            </w:r>
            <w:r>
              <w:rPr>
                <w:rFonts w:hint="eastAsia" w:ascii="宋体" w:hAnsi="宋体" w:eastAsia="宋体" w:cs="宋体"/>
                <w:spacing w:val="0"/>
                <w:sz w:val="24"/>
                <w:szCs w:val="24"/>
              </w:rPr>
              <w:t>(1)潜在投标人应在规定时间内对现场进行实地考察，对于采购人的项目施工内容等情况进行了解，以便获取有关编制投标文件所涉及现场的资料。(2)对于安装现场及位置等原因造成费用增加时，各投标人应综合考虑在投标报价内,今后在履行合同过程中存在此原因不再调整。采购人向投标人提供的有关现场的资料和数据，投标人须自行携带测绘工具对现场进行测绘。考察现场所发生的费用及发生的意外均由投标人自行承担。(3)现场勘察时间：请潜在投标人在报名时间截止后一个工作日内上午8:30至下午17:30(北京时间)派员持福建省政府采购网上报名成功的截图，前往采购人单位进行现场勘查,逾期不予接待。地址：闽侯县上街镇学府南路6号福建医科大学附属第三医院 采购单位联系人： 徐先生 13328266389。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59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2</w:t>
            </w:r>
          </w:p>
        </w:tc>
        <w:tc>
          <w:tcPr>
            <w:tcW w:w="13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647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投标文件的份数：</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（1）纸质投标文件：</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①资格及资信证明部分的正本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份，报价部分的正本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份，技术商务部分的正本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份。</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（2）电子投标文件：详见表</w:t>
            </w:r>
            <w:r>
              <w:rPr>
                <w:rFonts w:hint="default" w:ascii="Times New Roman" w:hAnsi="Times New Roman" w:cs="Times New Roman"/>
                <w:spacing w:val="0"/>
                <w:sz w:val="24"/>
                <w:szCs w:val="24"/>
              </w:rPr>
              <w:t>2</w:t>
            </w:r>
            <w:r>
              <w:rPr>
                <w:rFonts w:hint="eastAsia" w:ascii="宋体" w:hAnsi="宋体" w:eastAsia="宋体" w:cs="宋体"/>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3</w:t>
            </w:r>
          </w:p>
        </w:tc>
        <w:tc>
          <w:tcPr>
            <w:tcW w:w="13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10.5-（</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r>
              <w:rPr>
                <w:rFonts w:hint="default" w:ascii="Times New Roman" w:hAnsi="Times New Roman" w:cs="Times New Roman"/>
                <w:spacing w:val="0"/>
                <w:sz w:val="24"/>
                <w:szCs w:val="24"/>
              </w:rPr>
              <w:t>-</w:t>
            </w:r>
            <w:r>
              <w:rPr>
                <w:rFonts w:hint="eastAsia" w:ascii="宋体" w:hAnsi="宋体" w:eastAsia="宋体" w:cs="宋体"/>
                <w:spacing w:val="0"/>
                <w:sz w:val="24"/>
                <w:szCs w:val="24"/>
              </w:rPr>
              <w:t>③</w:t>
            </w:r>
          </w:p>
        </w:tc>
        <w:tc>
          <w:tcPr>
            <w:tcW w:w="647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允许散装或活页装订的内容或材料：</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（1）投标文件的补充、修改或撤回；</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（2）其他内容或材料：无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4</w:t>
            </w:r>
          </w:p>
        </w:tc>
        <w:tc>
          <w:tcPr>
            <w:tcW w:w="13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647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是否允许中标人将本项目的非主体、非关键性工作进行分包：</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5</w:t>
            </w:r>
          </w:p>
        </w:tc>
        <w:tc>
          <w:tcPr>
            <w:tcW w:w="13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647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w:t>
            </w:r>
          </w:p>
        </w:tc>
        <w:tc>
          <w:tcPr>
            <w:tcW w:w="13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10.10-（</w:t>
            </w:r>
            <w:r>
              <w:rPr>
                <w:rFonts w:hint="default" w:ascii="Calibri" w:hAnsi="Calibri" w:cs="Calibri"/>
                <w:spacing w:val="0"/>
                <w:sz w:val="24"/>
                <w:szCs w:val="24"/>
              </w:rPr>
              <w:t>2</w:t>
            </w:r>
            <w:r>
              <w:rPr>
                <w:rFonts w:hint="eastAsia" w:ascii="宋体" w:hAnsi="宋体" w:eastAsia="宋体" w:cs="宋体"/>
                <w:spacing w:val="0"/>
                <w:sz w:val="24"/>
                <w:szCs w:val="24"/>
              </w:rPr>
              <w:t>）</w:t>
            </w:r>
          </w:p>
        </w:tc>
        <w:tc>
          <w:tcPr>
            <w:tcW w:w="647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密封及其标记的具体形式：</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（1）全部纸质投标文件（包括正本、副本及可读介质）均应密封，否则</w:t>
            </w:r>
            <w:r>
              <w:rPr>
                <w:rStyle w:val="8"/>
                <w:rFonts w:hint="eastAsia" w:ascii="宋体" w:hAnsi="宋体" w:eastAsia="宋体" w:cs="宋体"/>
                <w:spacing w:val="0"/>
                <w:sz w:val="24"/>
                <w:szCs w:val="24"/>
              </w:rPr>
              <w:t>投标将被拒绝。</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不承担责任。</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（3）其他：无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7</w:t>
            </w:r>
          </w:p>
        </w:tc>
        <w:tc>
          <w:tcPr>
            <w:tcW w:w="13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647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本项目推荐合同包1中标候选人数为1家。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7" w:type="dxa"/>
            <w:tcBorders>
              <w:top w:val="nil"/>
              <w:left w:val="nil"/>
              <w:bottom w:val="nil"/>
              <w:right w:val="nil"/>
            </w:tcBorders>
            <w:shd w:val="clear"/>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spacing w:val="0"/>
                <w:sz w:val="24"/>
                <w:szCs w:val="24"/>
              </w:rPr>
              <w:t>  8</w:t>
            </w:r>
          </w:p>
        </w:tc>
        <w:tc>
          <w:tcPr>
            <w:tcW w:w="1382" w:type="dxa"/>
            <w:tcBorders>
              <w:top w:val="nil"/>
              <w:left w:val="nil"/>
              <w:bottom w:val="nil"/>
              <w:right w:val="nil"/>
            </w:tcBorders>
            <w:shd w:val="clear"/>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6477" w:type="dxa"/>
            <w:tcBorders>
              <w:top w:val="nil"/>
              <w:left w:val="nil"/>
              <w:bottom w:val="nil"/>
              <w:right w:val="nil"/>
            </w:tcBorders>
            <w:shd w:val="clear"/>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Style w:val="8"/>
                <w:rFonts w:hint="eastAsia" w:ascii="宋体" w:hAnsi="宋体" w:eastAsia="宋体" w:cs="宋体"/>
                <w:spacing w:val="0"/>
                <w:sz w:val="24"/>
                <w:szCs w:val="24"/>
              </w:rPr>
              <w:t>本项目中标人的确定（以合同包为单位）：</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无</w:t>
            </w:r>
            <w:r>
              <w:rPr>
                <w:rFonts w:hint="eastAsia" w:ascii="宋体" w:hAnsi="宋体" w:eastAsia="宋体" w:cs="宋体"/>
                <w:spacing w:val="0"/>
                <w:sz w:val="24"/>
                <w:szCs w:val="24"/>
              </w:rPr>
              <w:t>。</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（3）本项目确定的中标人家数：</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①本项目确定合同包1中标人数为1家；</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②若出现中标候选人符合法定家数但不足本款第①点规定中标人家数情形，则按照中标候选人的实际家数确定中标人。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9</w:t>
            </w:r>
          </w:p>
        </w:tc>
        <w:tc>
          <w:tcPr>
            <w:tcW w:w="13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647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质疑函原件应采用下列方式提交：</w:t>
            </w:r>
            <w:r>
              <w:rPr>
                <w:rFonts w:hint="eastAsia" w:ascii="宋体" w:hAnsi="宋体" w:eastAsia="宋体" w:cs="宋体"/>
                <w:spacing w:val="0"/>
                <w:sz w:val="24"/>
                <w:szCs w:val="24"/>
              </w:rPr>
              <w:t>现场方式。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w:t>
            </w:r>
          </w:p>
        </w:tc>
        <w:tc>
          <w:tcPr>
            <w:tcW w:w="13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6"/>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6"/>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647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招标文件的质疑</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（2）质疑时效期间：</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①在招标文件公告期限内：自招标文件首次下载之日起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提出，招标文件公告期限、首次下载之日均以福建省政府采购网上公开信息系统记载的为准。</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②在招标文件公告期限截止后至招标文件提供期限届满前的期间内：自招标文件公告期限届满之日起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提出，招标文件公告期限、招标文件提供期限均以福建省政府采购网上公开信息系统记载的为准。</w:t>
            </w:r>
          </w:p>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※除上述规定外，对招标文件提出的质疑还应符合招标文件第三章第</w:t>
            </w:r>
            <w:r>
              <w:rPr>
                <w:rStyle w:val="8"/>
                <w:rFonts w:hint="default" w:ascii="Times New Roman" w:hAnsi="Times New Roman" w:cs="Times New Roman"/>
                <w:spacing w:val="0"/>
                <w:sz w:val="24"/>
                <w:szCs w:val="24"/>
              </w:rPr>
              <w:t>15.1</w:t>
            </w:r>
            <w:r>
              <w:rPr>
                <w:rStyle w:val="8"/>
                <w:rFonts w:hint="eastAsia" w:ascii="宋体" w:hAnsi="宋体" w:eastAsia="宋体" w:cs="宋体"/>
                <w:spacing w:val="0"/>
                <w:sz w:val="24"/>
                <w:szCs w:val="24"/>
              </w:rPr>
              <w:t>条的有关规定。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11</w:t>
            </w:r>
          </w:p>
        </w:tc>
        <w:tc>
          <w:tcPr>
            <w:tcW w:w="13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647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监督管理部门：</w:t>
            </w:r>
            <w:r>
              <w:rPr>
                <w:rFonts w:hint="eastAsia" w:ascii="宋体" w:hAnsi="宋体" w:eastAsia="宋体" w:cs="宋体"/>
                <w:spacing w:val="0"/>
                <w:sz w:val="24"/>
                <w:szCs w:val="24"/>
              </w:rPr>
              <w:t>福建省财政厅</w:t>
            </w:r>
            <w:r>
              <w:rPr>
                <w:rStyle w:val="8"/>
                <w:rFonts w:hint="eastAsia" w:ascii="宋体" w:hAnsi="宋体" w:eastAsia="宋体" w:cs="宋体"/>
                <w:spacing w:val="0"/>
                <w:sz w:val="24"/>
                <w:szCs w:val="24"/>
              </w:rPr>
              <w:t>（仅限依法进行政府采购的货物或服务类项目）</w:t>
            </w:r>
            <w:r>
              <w:rPr>
                <w:rFonts w:hint="eastAsia" w:ascii="宋体" w:hAnsi="宋体" w:eastAsia="宋体" w:cs="宋体"/>
                <w:spacing w:val="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w:t>
            </w:r>
          </w:p>
        </w:tc>
        <w:tc>
          <w:tcPr>
            <w:tcW w:w="13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647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财政部和福建省财政厅指定的政府采购信息发布媒体（以下简称：“指定媒体”）：</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（1）中国政府采购网，网址</w:t>
            </w:r>
            <w:r>
              <w:rPr>
                <w:spacing w:val="0"/>
                <w:sz w:val="24"/>
                <w:szCs w:val="24"/>
              </w:rPr>
              <w:fldChar w:fldCharType="begin"/>
            </w:r>
            <w:r>
              <w:rPr>
                <w:spacing w:val="0"/>
                <w:sz w:val="24"/>
                <w:szCs w:val="24"/>
              </w:rPr>
              <w:instrText xml:space="preserve"> HYPERLINK "http://www.ccgp.gov.cn/" </w:instrText>
            </w:r>
            <w:r>
              <w:rPr>
                <w:spacing w:val="0"/>
                <w:sz w:val="24"/>
                <w:szCs w:val="24"/>
              </w:rPr>
              <w:fldChar w:fldCharType="separate"/>
            </w:r>
            <w:r>
              <w:rPr>
                <w:rStyle w:val="9"/>
                <w:spacing w:val="0"/>
                <w:sz w:val="24"/>
                <w:szCs w:val="24"/>
              </w:rPr>
              <w:t>http://www.ccgp.gov.cn</w:t>
            </w:r>
            <w:r>
              <w:rPr>
                <w:spacing w:val="0"/>
                <w:sz w:val="24"/>
                <w:szCs w:val="24"/>
              </w:rPr>
              <w:fldChar w:fldCharType="end"/>
            </w:r>
            <w:r>
              <w:t>。</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w:t>
            </w:r>
            <w:r>
              <w:rPr>
                <w:spacing w:val="0"/>
                <w:sz w:val="24"/>
                <w:szCs w:val="24"/>
              </w:rPr>
              <w:fldChar w:fldCharType="begin"/>
            </w:r>
            <w:r>
              <w:rPr>
                <w:spacing w:val="0"/>
                <w:sz w:val="24"/>
                <w:szCs w:val="24"/>
              </w:rPr>
              <w:instrText xml:space="preserve"> HYPERLINK "http://cz.fjzfcg.gov.cn/" </w:instrText>
            </w:r>
            <w:r>
              <w:rPr>
                <w:spacing w:val="0"/>
                <w:sz w:val="24"/>
                <w:szCs w:val="24"/>
              </w:rPr>
              <w:fldChar w:fldCharType="separate"/>
            </w:r>
            <w:r>
              <w:rPr>
                <w:rStyle w:val="9"/>
                <w:spacing w:val="0"/>
                <w:sz w:val="24"/>
                <w:szCs w:val="24"/>
              </w:rPr>
              <w:t>http://cz.fjzfcg.gov.cn</w:t>
            </w:r>
            <w:r>
              <w:rPr>
                <w:spacing w:val="0"/>
                <w:sz w:val="24"/>
                <w:szCs w:val="24"/>
              </w:rPr>
              <w:fldChar w:fldCharType="end"/>
            </w:r>
            <w:r>
              <w:t>。</w:t>
            </w:r>
          </w:p>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※除招标文件第一章第</w:t>
            </w:r>
            <w:r>
              <w:rPr>
                <w:rStyle w:val="8"/>
                <w:rFonts w:hint="default" w:ascii="Times New Roman" w:hAnsi="Times New Roman" w:cs="Times New Roman"/>
                <w:spacing w:val="0"/>
                <w:sz w:val="24"/>
                <w:szCs w:val="24"/>
              </w:rPr>
              <w:t>11.1</w:t>
            </w:r>
            <w:r>
              <w:rPr>
                <w:rStyle w:val="8"/>
                <w:rFonts w:hint="eastAsia" w:ascii="宋体" w:hAnsi="宋体" w:eastAsia="宋体" w:cs="宋体"/>
                <w:spacing w:val="0"/>
                <w:sz w:val="24"/>
                <w:szCs w:val="24"/>
              </w:rPr>
              <w:t>条规定情形外，若出现上述指定媒体信息不一致情形，应以中国政府采购网福建分网（福建省政府采购网）发布的为准。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13</w:t>
            </w:r>
          </w:p>
        </w:tc>
        <w:tc>
          <w:tcPr>
            <w:tcW w:w="138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647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8"/>
                <w:rFonts w:hint="eastAsia" w:ascii="宋体" w:hAnsi="宋体" w:eastAsia="宋体" w:cs="宋体"/>
                <w:spacing w:val="0"/>
                <w:sz w:val="24"/>
                <w:szCs w:val="24"/>
              </w:rPr>
              <w:t>其他事项：</w:t>
            </w:r>
          </w:p>
          <w:p>
            <w:pPr>
              <w:pStyle w:val="6"/>
              <w:keepNext w:val="0"/>
              <w:keepLines w:val="0"/>
              <w:widowControl/>
              <w:suppressLineNumbers w:val="0"/>
              <w:wordWrap w:val="0"/>
              <w:spacing w:before="0" w:beforeAutospacing="0" w:after="0" w:afterAutospacing="0"/>
              <w:ind w:left="0" w:right="0"/>
            </w:pPr>
            <w:r>
              <w:rPr>
                <w:rStyle w:val="8"/>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中标人</w:t>
            </w:r>
            <w:r>
              <w:rPr>
                <w:rStyle w:val="8"/>
                <w:rFonts w:hint="eastAsia" w:ascii="宋体" w:hAnsi="宋体" w:eastAsia="宋体" w:cs="宋体"/>
                <w:spacing w:val="0"/>
                <w:sz w:val="24"/>
                <w:szCs w:val="24"/>
              </w:rPr>
              <w:t>支付。</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(2)其他：</w:t>
            </w:r>
            <w:r>
              <w:rPr>
                <w:rFonts w:hint="eastAsia" w:ascii="宋体" w:hAnsi="宋体" w:eastAsia="宋体" w:cs="宋体"/>
                <w:spacing w:val="0"/>
                <w:sz w:val="24"/>
                <w:szCs w:val="24"/>
              </w:rPr>
              <w:t>100万以下 1.5%，100万元-500万元 1.1%，500万元-1000万元 0.8%，1000万元-5000万元 0.8%。本项目招标代理服务收费按差额定率累进法计算，向中标人收取招标代理服务费。 招标代理服务费收取方式： 1.中标人应在领取中标通知书的同时按规定的标准一次性向采购代理机构缴交招标代理服务费。招标代理服务费以银行转账、电汇、汇票或现金等付款方式。 2.招标代理服务费缴交银行帐号： 开户银行：兴业银行福州西门支行 开户名称：福建省机电设备招标有限公司 帐号：118080100100102651 3.代理机构联系电话：0591-28360884 邮箱方式：236011729@qq.com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2009" w:type="dxa"/>
            <w:gridSpan w:val="2"/>
            <w:tcBorders>
              <w:top w:val="nil"/>
              <w:left w:val="nil"/>
              <w:bottom w:val="nil"/>
              <w:right w:val="nil"/>
            </w:tcBorders>
            <w:shd w:val="clear"/>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6477" w:type="dxa"/>
            <w:tcBorders>
              <w:top w:val="nil"/>
              <w:left w:val="nil"/>
              <w:bottom w:val="nil"/>
              <w:right w:val="nil"/>
            </w:tcBorders>
            <w:shd w:val="clear"/>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Style w:val="8"/>
                <w:rFonts w:hint="eastAsia" w:ascii="宋体" w:hAnsi="宋体" w:eastAsia="宋体" w:cs="宋体"/>
                <w:spacing w:val="0"/>
                <w:sz w:val="24"/>
                <w:szCs w:val="24"/>
              </w:rPr>
              <w:t>后有表</w:t>
            </w:r>
            <w:r>
              <w:rPr>
                <w:rStyle w:val="8"/>
                <w:rFonts w:hint="default" w:ascii="Times New Roman" w:hAnsi="Times New Roman" w:cs="Times New Roman"/>
                <w:spacing w:val="0"/>
                <w:sz w:val="24"/>
                <w:szCs w:val="24"/>
              </w:rPr>
              <w:t>2</w:t>
            </w:r>
            <w:r>
              <w:rPr>
                <w:rStyle w:val="8"/>
                <w:rFonts w:hint="eastAsia" w:ascii="宋体" w:hAnsi="宋体" w:eastAsia="宋体" w:cs="宋体"/>
                <w:spacing w:val="0"/>
                <w:sz w:val="24"/>
                <w:szCs w:val="24"/>
              </w:rPr>
              <w:t>，请勿遗漏。</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表2</w:t>
      </w:r>
    </w:p>
    <w:tbl>
      <w:tblPr>
        <w:tblW w:w="85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517"/>
        <w:gridCol w:w="80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8515" w:type="dxa"/>
            <w:gridSpan w:val="2"/>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8"/>
                <w:rFonts w:hint="eastAsia" w:ascii="宋体" w:hAnsi="宋体" w:eastAsia="宋体" w:cs="宋体"/>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7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8013"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7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8013"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（1）招标文件中除下述第（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）款所述内容外的其他内容及规定适用本项目的电子招标投标活动。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8"/>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8"/>
                <w:rFonts w:hint="eastAsia" w:ascii="宋体" w:hAnsi="宋体" w:eastAsia="宋体" w:cs="宋体"/>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②关于投标文件：</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8"/>
                <w:rFonts w:hint="eastAsia" w:ascii="宋体" w:hAnsi="宋体" w:eastAsia="宋体" w:cs="宋体"/>
                <w:spacing w:val="0"/>
                <w:sz w:val="24"/>
                <w:szCs w:val="24"/>
              </w:rPr>
              <w:t>资格审查小组、评标委员会将按照不利于投标人的内容进行认定。</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8"/>
                <w:rFonts w:hint="eastAsia" w:ascii="宋体" w:hAnsi="宋体" w:eastAsia="宋体" w:cs="宋体"/>
                <w:spacing w:val="0"/>
                <w:sz w:val="24"/>
                <w:szCs w:val="24"/>
                <w:u w:val="single"/>
              </w:rPr>
              <w:t>1</w:t>
            </w:r>
            <w:r>
              <w:rPr>
                <w:rFonts w:hint="eastAsia" w:ascii="宋体" w:hAnsi="宋体" w:eastAsia="宋体" w:cs="宋体"/>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c.若出现福建省政府采购网上公开信息系统设定的意外情形（如：系统故障等），经本项目监督管理部门同意使用纸质投标文件的，应以纸质投标文件为准。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6"/>
              <w:keepNext w:val="0"/>
              <w:keepLines w:val="0"/>
              <w:widowControl/>
              <w:suppressLineNumbers w:val="0"/>
              <w:wordWrap w:val="0"/>
            </w:pPr>
            <w:r>
              <w:rPr>
                <w:rFonts w:hint="eastAsia" w:ascii="宋体" w:hAnsi="宋体" w:eastAsia="宋体" w:cs="宋体"/>
                <w:sz w:val="24"/>
                <w:szCs w:val="24"/>
                <w:bdr w:val="none" w:color="auto" w:sz="0" w:space="0"/>
              </w:rPr>
              <w:t>a.除《检察机关行贿犯罪档案查询结果告知函》外，招标文件要求原件的，投标人在电子投标文件中可提供复印件（含扫描件），但在纸质投标文件正本中应提供原件</w:t>
            </w:r>
            <w:r>
              <w:rPr>
                <w:rStyle w:val="8"/>
                <w:rFonts w:hint="eastAsia" w:ascii="宋体" w:hAnsi="宋体" w:eastAsia="宋体" w:cs="宋体"/>
                <w:sz w:val="24"/>
                <w:szCs w:val="24"/>
                <w:bdr w:val="none" w:color="auto" w:sz="0" w:space="0"/>
              </w:rPr>
              <w:t>（资格审查小组、评标委员会将核对纸质投标文件正本，未提供原件的证明材料或资料将导致投标无效）</w:t>
            </w:r>
            <w:r>
              <w:rPr>
                <w:rFonts w:hint="eastAsia" w:ascii="宋体" w:hAnsi="宋体" w:eastAsia="宋体" w:cs="宋体"/>
                <w:sz w:val="24"/>
                <w:szCs w:val="24"/>
                <w:bdr w:val="none" w:color="auto" w:sz="0" w:space="0"/>
              </w:rPr>
              <w:t>；招标文件要求复印件的，投标人在纸质投标文件中提供原件、复印件（含扫描件）皆可；招标文件对原件、复印件未作要求的，投标人在纸质投标文件中提供原件、复印件（含扫描件）皆可。</w:t>
            </w:r>
          </w:p>
          <w:p>
            <w:pPr>
              <w:pStyle w:val="6"/>
              <w:keepNext w:val="0"/>
              <w:keepLines w:val="0"/>
              <w:widowControl/>
              <w:suppressLineNumbers w:val="0"/>
              <w:wordWrap w:val="0"/>
            </w:pPr>
            <w:r>
              <w:rPr>
                <w:rFonts w:hint="eastAsia" w:ascii="宋体" w:hAnsi="宋体" w:eastAsia="宋体" w:cs="宋体"/>
                <w:sz w:val="24"/>
                <w:szCs w:val="24"/>
                <w:bdr w:val="none" w:color="auto" w:sz="0" w:space="0"/>
              </w:rPr>
              <w:t>b.除《检察机关行贿犯罪档案查询结果告知函》外，若投标人提供注明“复印件无效”的证明材料或资料，其纸质投标文件正本中应提供原件</w:t>
            </w:r>
            <w:r>
              <w:rPr>
                <w:rStyle w:val="8"/>
                <w:rFonts w:hint="eastAsia" w:ascii="宋体" w:hAnsi="宋体" w:eastAsia="宋体" w:cs="宋体"/>
                <w:sz w:val="24"/>
                <w:szCs w:val="24"/>
                <w:bdr w:val="none" w:color="auto" w:sz="0" w:space="0"/>
              </w:rPr>
              <w:t>（资格审查小组、评标委员会将核对纸质投标文件正本，未提供原件的证明材料或资料将导致投标无效）。</w:t>
            </w:r>
          </w:p>
          <w:p>
            <w:pPr>
              <w:pStyle w:val="6"/>
              <w:keepNext w:val="0"/>
              <w:keepLines w:val="0"/>
              <w:widowControl/>
              <w:suppressLineNumbers w:val="0"/>
              <w:wordWrap w:val="0"/>
            </w:pPr>
            <w:r>
              <w:rPr>
                <w:rFonts w:hint="eastAsia" w:ascii="宋体" w:hAnsi="宋体" w:eastAsia="宋体" w:cs="宋体"/>
                <w:sz w:val="24"/>
                <w:szCs w:val="24"/>
                <w:bdr w:val="none" w:color="auto" w:sz="0" w:space="0"/>
              </w:rPr>
              <w:t>c.《检察机关行贿犯罪档案查询结果告知函》</w:t>
            </w:r>
          </w:p>
          <w:p>
            <w:pPr>
              <w:pStyle w:val="6"/>
              <w:keepNext w:val="0"/>
              <w:keepLines w:val="0"/>
              <w:widowControl/>
              <w:suppressLineNumbers w:val="0"/>
              <w:wordWrap w:val="0"/>
            </w:pPr>
            <w:r>
              <w:rPr>
                <w:rFonts w:hint="eastAsia" w:ascii="宋体" w:hAnsi="宋体" w:eastAsia="宋体" w:cs="宋体"/>
                <w:sz w:val="24"/>
                <w:szCs w:val="24"/>
                <w:bdr w:val="none" w:color="auto" w:sz="0" w:space="0"/>
              </w:rPr>
              <w:t>c1投标人在电子投标文件中可提供复印件（含扫描件）、符合招标文件第七章规定的打印件（或截图），在纸质投标文件正本中提供原件、复印件（含扫描件）、符合招标文件第七章规定的打印件（或截图）皆可。</w:t>
            </w:r>
          </w:p>
          <w:p>
            <w:pPr>
              <w:pStyle w:val="6"/>
              <w:keepNext w:val="0"/>
              <w:keepLines w:val="0"/>
              <w:widowControl/>
              <w:suppressLineNumbers w:val="0"/>
              <w:wordWrap w:val="0"/>
            </w:pPr>
            <w:r>
              <w:rPr>
                <w:rFonts w:hint="eastAsia" w:ascii="宋体" w:hAnsi="宋体" w:eastAsia="宋体" w:cs="宋体"/>
                <w:sz w:val="24"/>
                <w:szCs w:val="24"/>
                <w:bdr w:val="none" w:color="auto" w:sz="0" w:space="0"/>
              </w:rPr>
              <w:t>c2《检察机关行贿犯罪档案查询结果告知函》应在有效期内且内容完整、清晰、整洁，否则</w:t>
            </w:r>
            <w:r>
              <w:rPr>
                <w:rStyle w:val="8"/>
                <w:rFonts w:hint="eastAsia" w:ascii="宋体" w:hAnsi="宋体" w:eastAsia="宋体" w:cs="宋体"/>
                <w:sz w:val="24"/>
                <w:szCs w:val="24"/>
                <w:bdr w:val="none" w:color="auto" w:sz="0" w:space="0"/>
              </w:rPr>
              <w:t>投标无效。</w:t>
            </w:r>
          </w:p>
          <w:p>
            <w:pPr>
              <w:pStyle w:val="6"/>
              <w:keepNext w:val="0"/>
              <w:keepLines w:val="0"/>
              <w:widowControl/>
              <w:suppressLineNumbers w:val="0"/>
              <w:wordWrap w:val="0"/>
            </w:pPr>
            <w:r>
              <w:rPr>
                <w:rFonts w:hint="eastAsia" w:ascii="宋体" w:hAnsi="宋体" w:eastAsia="宋体" w:cs="宋体"/>
                <w:sz w:val="24"/>
                <w:szCs w:val="24"/>
                <w:bdr w:val="none" w:color="auto" w:sz="0" w:space="0"/>
              </w:rPr>
              <w:t>c3有效期内的《检察机关行贿犯罪档案查询结果告知函》复印件（含扫描件）及符合招标文件第七章规定的打印件（或截图），无论内容中是否注明“复印件无效”，</w:t>
            </w:r>
            <w:r>
              <w:rPr>
                <w:rStyle w:val="8"/>
                <w:rFonts w:hint="eastAsia" w:ascii="宋体" w:hAnsi="宋体" w:eastAsia="宋体" w:cs="宋体"/>
                <w:sz w:val="24"/>
                <w:szCs w:val="24"/>
                <w:bdr w:val="none" w:color="auto" w:sz="0" w:space="0"/>
              </w:rPr>
              <w:t>均视同有效。</w:t>
            </w:r>
          </w:p>
          <w:p>
            <w:pPr>
              <w:pStyle w:val="6"/>
              <w:keepNext w:val="0"/>
              <w:keepLines w:val="0"/>
              <w:widowControl/>
              <w:suppressLineNumbers w:val="0"/>
              <w:wordWrap w:val="0"/>
              <w:spacing w:before="0" w:beforeAutospacing="0" w:after="0" w:afterAutospacing="0"/>
              <w:ind w:left="0" w:right="0"/>
            </w:pP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8"/>
                <w:rFonts w:hint="eastAsia" w:ascii="宋体" w:hAnsi="宋体" w:eastAsia="宋体" w:cs="宋体"/>
                <w:spacing w:val="0"/>
                <w:sz w:val="24"/>
                <w:szCs w:val="24"/>
              </w:rPr>
              <w:t>投标无效。</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8"/>
                <w:rFonts w:hint="eastAsia" w:ascii="宋体" w:hAnsi="宋体" w:eastAsia="宋体" w:cs="宋体"/>
                <w:spacing w:val="0"/>
                <w:sz w:val="24"/>
                <w:szCs w:val="24"/>
              </w:rPr>
              <w:t>不视为投标无效。</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证书应在投标截止时间前连同密封的纸质投标文件送达招标文件第一章第</w:t>
            </w:r>
            <w:r>
              <w:rPr>
                <w:rFonts w:hint="default" w:ascii="Calibri" w:hAnsi="Calibri" w:cs="Calibri"/>
                <w:spacing w:val="0"/>
                <w:sz w:val="24"/>
                <w:szCs w:val="24"/>
              </w:rPr>
              <w:t>10</w:t>
            </w:r>
            <w:r>
              <w:rPr>
                <w:rFonts w:hint="eastAsia" w:ascii="宋体" w:hAnsi="宋体" w:eastAsia="宋体" w:cs="宋体"/>
                <w:spacing w:val="0"/>
                <w:sz w:val="24"/>
                <w:szCs w:val="24"/>
              </w:rPr>
              <w:t>条载明的地点，否则</w:t>
            </w:r>
            <w:r>
              <w:rPr>
                <w:rStyle w:val="8"/>
                <w:rFonts w:hint="eastAsia" w:ascii="宋体" w:hAnsi="宋体" w:eastAsia="宋体" w:cs="宋体"/>
                <w:spacing w:val="0"/>
                <w:sz w:val="24"/>
                <w:szCs w:val="24"/>
              </w:rPr>
              <w:t>投标将被拒绝。</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证书或外包装应标记“项目名称、招标编号、投标人的全称”等内容，以方便识别、使用。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a.被福建省政府采购网上公开信息系统判定为投标保证金未提交（即未于投标截止时间前到达招标文件载明的投标保证金账户）的投标人，</w:t>
            </w:r>
            <w:r>
              <w:rPr>
                <w:rStyle w:val="8"/>
                <w:rFonts w:hint="eastAsia" w:ascii="宋体" w:hAnsi="宋体" w:eastAsia="宋体" w:cs="宋体"/>
                <w:spacing w:val="0"/>
                <w:sz w:val="24"/>
                <w:szCs w:val="24"/>
              </w:rPr>
              <w:t>投标将被拒绝。</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b.有下列情形之一的，视为投标人串通投标，</w:t>
            </w:r>
            <w:r>
              <w:rPr>
                <w:rStyle w:val="8"/>
                <w:rFonts w:hint="eastAsia" w:ascii="宋体" w:hAnsi="宋体" w:eastAsia="宋体" w:cs="宋体"/>
                <w:spacing w:val="0"/>
                <w:sz w:val="24"/>
                <w:szCs w:val="24"/>
              </w:rPr>
              <w:t>其投标无效：</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b1不同投标人的电子投标文件被福建省政府采购网上公开信息系统判定为具有相同内部识别码；</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b2不同投标人的投标保证金被福建省政府采购网上公开信息系统判定为从同一单位或个人的账户转出；</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b3投标人的投标保证金被福建省政府采购网上公开信息系统判定为同一合同项下有其他投标人提交的投标保证金</w:t>
            </w:r>
          </w:p>
          <w:p>
            <w:pPr>
              <w:pStyle w:val="6"/>
              <w:keepNext w:val="0"/>
              <w:keepLines w:val="0"/>
              <w:widowControl/>
              <w:suppressLineNumbers w:val="0"/>
              <w:wordWrap w:val="0"/>
            </w:pPr>
            <w:r>
              <w:rPr>
                <w:rFonts w:hint="eastAsia" w:ascii="宋体" w:hAnsi="宋体" w:eastAsia="宋体" w:cs="宋体"/>
                <w:sz w:val="24"/>
                <w:szCs w:val="24"/>
                <w:bdr w:val="none" w:color="auto" w:sz="0" w:space="0"/>
              </w:rPr>
              <w:t>b4不同投标人被福建省政府采购网上公开信息系统判定为串通投标的其他情形。</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无</w:t>
            </w:r>
            <w:r>
              <w:rPr>
                <w:rFonts w:hint="eastAsia" w:ascii="宋体" w:hAnsi="宋体" w:eastAsia="宋体" w:cs="宋体"/>
                <w:spacing w:val="0"/>
                <w:sz w:val="24"/>
                <w:szCs w:val="24"/>
              </w:rPr>
              <w:t>。</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第三章   投标人须知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一、总则</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条规定进行报名且有意向参加本项目投标的供应商。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条规定进行报名并参加本项目投标的供应商。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二、投标人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三、招标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福建省机电设备招标有限公司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8"/>
          <w:rFonts w:hint="eastAsia" w:ascii="宋体" w:hAnsi="宋体" w:eastAsia="宋体" w:cs="宋体"/>
          <w:spacing w:val="0"/>
          <w:sz w:val="24"/>
          <w:szCs w:val="24"/>
        </w:rPr>
        <w:t>作为招标文件组成部分</w:t>
      </w:r>
      <w:r>
        <w:rPr>
          <w:rFonts w:hint="eastAsia" w:ascii="宋体" w:hAnsi="宋体" w:eastAsia="宋体" w:cs="宋体"/>
          <w:spacing w:val="0"/>
          <w:sz w:val="24"/>
          <w:szCs w:val="24"/>
        </w:rPr>
        <w:t>，对投标人具有约束力。</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福建省机电设备招标有限公司可终止招标并发布终止公告。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8.2终止公告作为福建省机电设备招标有限公司</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四、投标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9.1投标人可对招标文件载明的全部或部分合同包进行投标。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9.2投标人应对同一个合同包内的所有内容进行完整投标，否则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8"/>
          <w:rFonts w:hint="eastAsia" w:ascii="宋体" w:hAnsi="宋体" w:eastAsia="宋体" w:cs="宋体"/>
          <w:spacing w:val="0"/>
          <w:sz w:val="24"/>
          <w:szCs w:val="24"/>
        </w:rPr>
        <w:t>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（2）除招标文件另有规定外，投标文件的正本和全部副本均应使用不能擦去的墨料或墨水打印、书写或复印，其中：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①正本应用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幅面纸张打印装订，编制封面（封面标明“正本”字样）、索引、页码，并用胶装装订成册。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②副本应用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幅面纸张打印装订，编制封面（封面标明“副本”字样）、索引、页码，并用胶装装订成册；副本可用正本的完整复印件，并与正本保持一致（若不一致，以正本为准）。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③允许散装或活页装订的内容或材料：详见招标文件第二章。</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※除本章第</w:t>
      </w:r>
      <w:r>
        <w:rPr>
          <w:rStyle w:val="8"/>
          <w:rFonts w:hint="default" w:ascii="Calibri" w:hAnsi="Calibri" w:cs="Calibri"/>
          <w:spacing w:val="0"/>
          <w:sz w:val="24"/>
          <w:szCs w:val="24"/>
        </w:rPr>
        <w:t>10.5</w:t>
      </w:r>
      <w:r>
        <w:rPr>
          <w:rStyle w:val="8"/>
          <w:rFonts w:hint="eastAsia" w:ascii="宋体" w:hAnsi="宋体" w:eastAsia="宋体" w:cs="宋体"/>
          <w:spacing w:val="0"/>
          <w:sz w:val="24"/>
          <w:szCs w:val="24"/>
        </w:rPr>
        <w:t>条第（</w:t>
      </w:r>
      <w:r>
        <w:rPr>
          <w:rStyle w:val="8"/>
          <w:rFonts w:hint="default" w:ascii="Calibri" w:hAnsi="Calibri" w:cs="Calibri"/>
          <w:spacing w:val="0"/>
          <w:sz w:val="24"/>
          <w:szCs w:val="24"/>
        </w:rPr>
        <w:t>2</w:t>
      </w:r>
      <w:r>
        <w:rPr>
          <w:rStyle w:val="8"/>
          <w:rFonts w:hint="eastAsia" w:ascii="宋体" w:hAnsi="宋体" w:eastAsia="宋体" w:cs="宋体"/>
          <w:spacing w:val="0"/>
          <w:sz w:val="24"/>
          <w:szCs w:val="24"/>
        </w:rPr>
        <w:t>）款第③点规定情形外，投标文件散装或活页装订将导致投标无效。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①投标文件应由投标人代表签字并加盖投标人的单位公章。若投标人代表为单位负责人授权的委托代理人，应提供“单位负责人授权书”。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8"/>
          <w:rFonts w:hint="eastAsia" w:ascii="宋体" w:hAnsi="宋体" w:eastAsia="宋体" w:cs="宋体"/>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（3）除招标文件另有规定外，投标文件不能出现任何选择性的投标报价，即每一个合同包和品目号的采购标的都只能有一个投标报价。任何选择性的投标报价将导致</w:t>
      </w:r>
      <w:r>
        <w:rPr>
          <w:rStyle w:val="8"/>
          <w:rFonts w:hint="eastAsia" w:ascii="宋体" w:hAnsi="宋体" w:eastAsia="宋体" w:cs="宋体"/>
          <w:spacing w:val="0"/>
          <w:sz w:val="24"/>
          <w:szCs w:val="24"/>
        </w:rPr>
        <w:t>投标无效。</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8"/>
          <w:rFonts w:hint="eastAsia" w:ascii="宋体" w:hAnsi="宋体" w:eastAsia="宋体" w:cs="宋体"/>
          <w:spacing w:val="0"/>
          <w:sz w:val="24"/>
          <w:szCs w:val="24"/>
        </w:rPr>
        <w:t>（基本存款账户）</w:t>
      </w:r>
      <w:r>
        <w:rPr>
          <w:rFonts w:hint="eastAsia" w:ascii="宋体" w:hAnsi="宋体" w:eastAsia="宋体" w:cs="宋体"/>
          <w:spacing w:val="0"/>
          <w:sz w:val="24"/>
          <w:szCs w:val="24"/>
        </w:rPr>
        <w:t>按照下列方式：</w:t>
      </w:r>
      <w:r>
        <w:rPr>
          <w:rStyle w:val="8"/>
          <w:rFonts w:hint="eastAsia" w:ascii="宋体" w:hAnsi="宋体" w:eastAsia="宋体" w:cs="宋体"/>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8"/>
          <w:rFonts w:hint="eastAsia" w:ascii="宋体" w:hAnsi="宋体" w:eastAsia="宋体" w:cs="宋体"/>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※除招标文件另有规定外，未按照上述规定提交投标保证金将导致资格审查不合格。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收到投标人书面撤回通知之日起5个工作日内退回原账户。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个工作日内退回原账户；合同签订之日按照下列方式认定：</w:t>
      </w:r>
      <w:r>
        <w:rPr>
          <w:rStyle w:val="8"/>
          <w:rFonts w:hint="eastAsia" w:ascii="宋体" w:hAnsi="宋体" w:eastAsia="宋体" w:cs="宋体"/>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※本章第</w:t>
      </w:r>
      <w:r>
        <w:rPr>
          <w:rStyle w:val="8"/>
          <w:rFonts w:hint="default" w:ascii="Calibri" w:hAnsi="Calibri" w:cs="Calibri"/>
          <w:spacing w:val="0"/>
          <w:sz w:val="24"/>
          <w:szCs w:val="24"/>
        </w:rPr>
        <w:t>10.9</w:t>
      </w:r>
      <w:r>
        <w:rPr>
          <w:rStyle w:val="8"/>
          <w:rFonts w:hint="eastAsia" w:ascii="宋体" w:hAnsi="宋体" w:eastAsia="宋体" w:cs="宋体"/>
          <w:spacing w:val="0"/>
          <w:sz w:val="24"/>
          <w:szCs w:val="24"/>
        </w:rPr>
        <w:t>条第（</w:t>
      </w:r>
      <w:r>
        <w:rPr>
          <w:rStyle w:val="8"/>
          <w:rFonts w:hint="default" w:ascii="Calibri" w:hAnsi="Calibri" w:cs="Calibri"/>
          <w:spacing w:val="0"/>
          <w:sz w:val="24"/>
          <w:szCs w:val="24"/>
        </w:rPr>
        <w:t>4</w:t>
      </w:r>
      <w:r>
        <w:rPr>
          <w:rStyle w:val="8"/>
          <w:rFonts w:hint="eastAsia" w:ascii="宋体" w:hAnsi="宋体" w:eastAsia="宋体" w:cs="宋体"/>
          <w:spacing w:val="0"/>
          <w:sz w:val="24"/>
          <w:szCs w:val="24"/>
        </w:rPr>
        <w:t>）款第①、②、③点规定的投标保证金退还时限不包括因投标人自身原因导致无法及时退还而增加的时间。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⑤投标人不接受评标委员会按照招标文件规定对投标报价错误之处进行修正；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⑥投标人违反招标文件第三章第</w:t>
      </w:r>
      <w:r>
        <w:rPr>
          <w:rFonts w:hint="default" w:ascii="Calibri" w:hAnsi="Calibri" w:cs="Calibri"/>
          <w:spacing w:val="0"/>
          <w:sz w:val="24"/>
          <w:szCs w:val="24"/>
        </w:rPr>
        <w:t>9.4</w:t>
      </w:r>
      <w:r>
        <w:rPr>
          <w:rFonts w:hint="eastAsia" w:ascii="宋体" w:hAnsi="宋体" w:eastAsia="宋体" w:cs="宋体"/>
          <w:spacing w:val="0"/>
          <w:sz w:val="24"/>
          <w:szCs w:val="24"/>
        </w:rPr>
        <w:t>、</w:t>
      </w:r>
      <w:r>
        <w:rPr>
          <w:rFonts w:hint="default" w:ascii="Calibri" w:hAnsi="Calibri" w:cs="Calibri"/>
          <w:spacing w:val="0"/>
          <w:sz w:val="24"/>
          <w:szCs w:val="24"/>
        </w:rPr>
        <w:t>9.5</w:t>
      </w:r>
      <w:r>
        <w:rPr>
          <w:rFonts w:hint="eastAsia" w:ascii="宋体" w:hAnsi="宋体" w:eastAsia="宋体" w:cs="宋体"/>
          <w:spacing w:val="0"/>
          <w:sz w:val="24"/>
          <w:szCs w:val="24"/>
        </w:rPr>
        <w:t>、</w:t>
      </w:r>
      <w:r>
        <w:rPr>
          <w:rFonts w:hint="default" w:ascii="Calibri" w:hAnsi="Calibri" w:cs="Calibri"/>
          <w:spacing w:val="0"/>
          <w:sz w:val="24"/>
          <w:szCs w:val="24"/>
        </w:rPr>
        <w:t>9.6</w:t>
      </w:r>
      <w:r>
        <w:rPr>
          <w:rFonts w:hint="eastAsia" w:ascii="宋体" w:hAnsi="宋体" w:eastAsia="宋体" w:cs="宋体"/>
          <w:spacing w:val="0"/>
          <w:sz w:val="24"/>
          <w:szCs w:val="24"/>
        </w:rPr>
        <w:t>条规定之一；</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⑦招标文件规定的其他不予退还情形；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⑧中标人有下列情形之一的：</w:t>
      </w:r>
    </w:p>
    <w:p>
      <w:pPr>
        <w:pStyle w:val="6"/>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※若上述投标保证金不予退还情形给采购人（采购代理机构）造成损失，则投标人还要承担相应的赔偿责任。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（2）密封及其标记的具体形式：详见招标文件第二章。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8"/>
          <w:rFonts w:hint="eastAsia" w:ascii="宋体" w:hAnsi="宋体" w:eastAsia="宋体" w:cs="宋体"/>
          <w:spacing w:val="0"/>
          <w:sz w:val="24"/>
          <w:szCs w:val="24"/>
        </w:rPr>
        <w:t>否则将被拒收。</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※按照上述规定提交的补充、修改内容作为投标文件组成部分。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五、开标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将在招标文件载明的开标时间及地点主持召开开标会，并邀请投标人参加。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派出，现场监督人员（若有）可由有关方面派出。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11.3参加开标会的投标人应签到，非投标人不参加开标会。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※若出现本章第</w:t>
      </w:r>
      <w:r>
        <w:rPr>
          <w:rStyle w:val="8"/>
          <w:rFonts w:hint="default" w:ascii="Calibri" w:hAnsi="Calibri" w:cs="Calibri"/>
          <w:spacing w:val="0"/>
          <w:sz w:val="24"/>
          <w:szCs w:val="24"/>
        </w:rPr>
        <w:t>11.4</w:t>
      </w:r>
      <w:r>
        <w:rPr>
          <w:rStyle w:val="8"/>
          <w:rFonts w:hint="eastAsia" w:ascii="宋体" w:hAnsi="宋体" w:eastAsia="宋体" w:cs="宋体"/>
          <w:spacing w:val="0"/>
          <w:sz w:val="24"/>
          <w:szCs w:val="24"/>
        </w:rPr>
        <w:t>条第（</w:t>
      </w:r>
      <w:r>
        <w:rPr>
          <w:rStyle w:val="8"/>
          <w:rFonts w:hint="default" w:ascii="Calibri" w:hAnsi="Calibri" w:cs="Calibri"/>
          <w:spacing w:val="0"/>
          <w:sz w:val="24"/>
          <w:szCs w:val="24"/>
        </w:rPr>
        <w:t>4</w:t>
      </w:r>
      <w:r>
        <w:rPr>
          <w:rStyle w:val="8"/>
          <w:rFonts w:hint="eastAsia" w:ascii="宋体" w:hAnsi="宋体" w:eastAsia="宋体" w:cs="宋体"/>
          <w:spacing w:val="0"/>
          <w:sz w:val="24"/>
          <w:szCs w:val="24"/>
        </w:rPr>
        <w:t>）、（</w:t>
      </w:r>
      <w:r>
        <w:rPr>
          <w:rStyle w:val="8"/>
          <w:rFonts w:hint="default" w:ascii="Calibri" w:hAnsi="Calibri" w:cs="Calibri"/>
          <w:spacing w:val="0"/>
          <w:sz w:val="24"/>
          <w:szCs w:val="24"/>
        </w:rPr>
        <w:t>5</w:t>
      </w:r>
      <w:r>
        <w:rPr>
          <w:rStyle w:val="8"/>
          <w:rFonts w:hint="eastAsia" w:ascii="宋体" w:hAnsi="宋体" w:eastAsia="宋体" w:cs="宋体"/>
          <w:spacing w:val="0"/>
          <w:sz w:val="24"/>
          <w:szCs w:val="24"/>
        </w:rPr>
        <w:t>）、（</w:t>
      </w:r>
      <w:r>
        <w:rPr>
          <w:rStyle w:val="8"/>
          <w:rFonts w:hint="default" w:ascii="Calibri" w:hAnsi="Calibri" w:cs="Calibri"/>
          <w:spacing w:val="0"/>
          <w:sz w:val="24"/>
          <w:szCs w:val="24"/>
        </w:rPr>
        <w:t>6</w:t>
      </w:r>
      <w:r>
        <w:rPr>
          <w:rStyle w:val="8"/>
          <w:rFonts w:hint="eastAsia" w:ascii="宋体" w:hAnsi="宋体" w:eastAsia="宋体" w:cs="宋体"/>
          <w:spacing w:val="0"/>
          <w:sz w:val="24"/>
          <w:szCs w:val="24"/>
        </w:rPr>
        <w:t>）款规定情形之一</w:t>
      </w:r>
      <w:r>
        <w:rPr>
          <w:rFonts w:hint="eastAsia" w:ascii="宋体" w:hAnsi="宋体" w:eastAsia="宋体" w:cs="宋体"/>
          <w:spacing w:val="0"/>
          <w:sz w:val="24"/>
          <w:szCs w:val="24"/>
        </w:rPr>
        <w:t>，</w:t>
      </w:r>
      <w:r>
        <w:rPr>
          <w:rStyle w:val="8"/>
          <w:rFonts w:hint="eastAsia" w:ascii="宋体" w:hAnsi="宋体" w:eastAsia="宋体" w:cs="宋体"/>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福建省机电设备招标有限公司</w:t>
      </w:r>
      <w:r>
        <w:rPr>
          <w:rStyle w:val="8"/>
          <w:rFonts w:hint="eastAsia" w:ascii="宋体" w:hAnsi="宋体" w:eastAsia="宋体" w:cs="宋体"/>
          <w:spacing w:val="0"/>
          <w:sz w:val="24"/>
          <w:szCs w:val="24"/>
        </w:rPr>
        <w:t>提出任何疑义或要求（包括质疑）。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六、中标与政府采购合同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将在招标文件载明的指定媒体以中标公告的形式发布中标结果。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（3）中标公告同时作为</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通知除中标人外的其他投标人没有中标的书面形式。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将向中标人发出中标通知书。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13.2签订时限：自中标通知书发出之日起</w:t>
      </w:r>
      <w:r>
        <w:rPr>
          <w:rFonts w:hint="default" w:ascii="Calibri" w:hAnsi="Calibri" w:cs="Calibri"/>
          <w:spacing w:val="0"/>
          <w:sz w:val="24"/>
          <w:szCs w:val="24"/>
        </w:rPr>
        <w:t>30</w:t>
      </w:r>
      <w:r>
        <w:rPr>
          <w:rFonts w:hint="eastAsia" w:ascii="宋体" w:hAnsi="宋体" w:eastAsia="宋体" w:cs="宋体"/>
          <w:spacing w:val="0"/>
          <w:sz w:val="24"/>
          <w:szCs w:val="24"/>
        </w:rPr>
        <w:t>个日历日内。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13.3政府采购合同的履行、违约责任和解决争议的方法等适用合同法。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七、询问、质疑与投诉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14.1潜在投标人或投标人对本次采购活动的有关事项若有疑问，可向福建省机电设备招标有限公司提出询问，福建省机电设备招标有限公司将按照政府采购法及实施条例的有关规定进行答复。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针对同一采购程序环节的质疑应在政府采购法及实施条例规定的时限内一次性提出</w:t>
      </w:r>
      <w:r>
        <w:rPr>
          <w:rFonts w:hint="eastAsia" w:ascii="宋体" w:hAnsi="宋体" w:eastAsia="宋体" w:cs="宋体"/>
          <w:spacing w:val="0"/>
        </w:rPr>
        <w:t>，并同时符合下列条件：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②所质疑项目的基本信息，至少包括：招标编号、项目名称等；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福建省机电设备招标有限公司对其质疑作出的处理结果，如：暂停招标投标活动、修改招标文件、停止或纠正违法违规行为、中标结果无效、废标、重新招标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8"/>
          <w:rFonts w:hint="eastAsia" w:ascii="宋体" w:hAnsi="宋体" w:eastAsia="宋体" w:cs="宋体"/>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6"/>
        <w:keepNext w:val="0"/>
        <w:keepLines w:val="0"/>
        <w:widowControl/>
        <w:suppressLineNumbers w:val="0"/>
        <w:ind w:left="0" w:firstLine="480"/>
      </w:pPr>
      <w:r>
        <w:rPr>
          <w:rStyle w:val="8"/>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6"/>
        <w:keepNext w:val="0"/>
        <w:keepLines w:val="0"/>
        <w:widowControl/>
        <w:suppressLineNumbers w:val="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八、政府采购政策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节能产品指列入财政部、国家发改委《节能产品政府采购清单》（以下简称：“节能清单”）的产品。环境标志产品指列入财政部、环保部《环境标志产品政府采购清单》（以下简称：“环保清单”）的产品。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（3）对于同时列入节能清单和环保清单的产品，优先于只列入其中一个清单的产品。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17.4符合财政部、工信部文件（财库</w:t>
      </w:r>
      <w:r>
        <w:rPr>
          <w:rFonts w:hint="default" w:ascii="Calibri" w:hAnsi="Calibri" w:cs="Calibri"/>
          <w:spacing w:val="0"/>
          <w:sz w:val="24"/>
          <w:szCs w:val="24"/>
        </w:rPr>
        <w:t>[2011]181</w:t>
      </w:r>
      <w:r>
        <w:rPr>
          <w:rFonts w:hint="eastAsia" w:ascii="宋体" w:hAnsi="宋体" w:eastAsia="宋体" w:cs="宋体"/>
          <w:spacing w:val="0"/>
          <w:sz w:val="24"/>
          <w:szCs w:val="24"/>
        </w:rPr>
        <w:t>号）规定的</w:t>
      </w:r>
      <w:r>
        <w:rPr>
          <w:rStyle w:val="8"/>
          <w:rFonts w:hint="eastAsia" w:ascii="宋体" w:hAnsi="宋体" w:eastAsia="宋体" w:cs="宋体"/>
          <w:spacing w:val="0"/>
          <w:sz w:val="24"/>
          <w:szCs w:val="24"/>
        </w:rPr>
        <w:t>小型、微型企业</w:t>
      </w:r>
      <w:r>
        <w:rPr>
          <w:rFonts w:hint="eastAsia" w:ascii="宋体" w:hAnsi="宋体" w:eastAsia="宋体" w:cs="宋体"/>
          <w:spacing w:val="0"/>
          <w:sz w:val="24"/>
          <w:szCs w:val="24"/>
        </w:rPr>
        <w:t>可享受扶持政策（如：预留份额、评审中价格扣除等）。符合财政部、司法部文件（财库[2014]68号）规定的监狱企业（以下简称：</w:t>
      </w:r>
      <w:r>
        <w:rPr>
          <w:rStyle w:val="8"/>
          <w:rFonts w:hint="eastAsia" w:ascii="宋体" w:hAnsi="宋体" w:eastAsia="宋体" w:cs="宋体"/>
          <w:spacing w:val="0"/>
          <w:sz w:val="24"/>
          <w:szCs w:val="24"/>
        </w:rPr>
        <w:t>“监狱企业”</w:t>
      </w:r>
      <w:r>
        <w:rPr>
          <w:rFonts w:hint="eastAsia" w:ascii="宋体" w:hAnsi="宋体" w:eastAsia="宋体" w:cs="宋体"/>
          <w:spacing w:val="0"/>
          <w:sz w:val="24"/>
          <w:szCs w:val="24"/>
        </w:rPr>
        <w:t>）亦可享受前述扶持政策。符合财政部、民政部、中国残联文件（财库[2017]141号）规定的残疾人福利性单位（以下简称：</w:t>
      </w:r>
      <w:r>
        <w:rPr>
          <w:rStyle w:val="8"/>
          <w:rFonts w:hint="eastAsia" w:ascii="宋体" w:hAnsi="宋体" w:eastAsia="宋体" w:cs="宋体"/>
          <w:spacing w:val="0"/>
          <w:sz w:val="24"/>
          <w:szCs w:val="24"/>
        </w:rPr>
        <w:t>“残疾人福利性单位”</w:t>
      </w:r>
      <w:r>
        <w:rPr>
          <w:rFonts w:hint="eastAsia" w:ascii="宋体" w:hAnsi="宋体" w:eastAsia="宋体" w:cs="宋体"/>
          <w:spacing w:val="0"/>
          <w:sz w:val="24"/>
          <w:szCs w:val="24"/>
        </w:rPr>
        <w:t>）亦可享受前述扶持政策。其中：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（1）中小企业指同时符合下列条件的中型、小型、微型企业：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①符合《工业和信息化部、国家统计局、国家发展和改革委员会、财政部关于印发中小企业划型标准规定的通知》（工信部联企业</w:t>
      </w:r>
      <w:r>
        <w:rPr>
          <w:rFonts w:hint="default" w:ascii="Calibri" w:hAnsi="Calibri" w:cs="Calibri"/>
          <w:spacing w:val="0"/>
          <w:sz w:val="24"/>
          <w:szCs w:val="24"/>
        </w:rPr>
        <w:t>[2011]300</w:t>
      </w:r>
      <w:r>
        <w:rPr>
          <w:rFonts w:hint="eastAsia" w:ascii="宋体" w:hAnsi="宋体" w:eastAsia="宋体" w:cs="宋体"/>
          <w:spacing w:val="0"/>
          <w:sz w:val="24"/>
          <w:szCs w:val="24"/>
        </w:rPr>
        <w:t>号）规定的划分标准；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②提供本企业制造的货物、承担的工程或服务，或提供其他中小企业制造的货物。本项所称货物不包括使用大型企业注册商标的货物。小型、微型企业提供中型企业制造的货物，视同中型企业。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①监狱企业参加采购活动时，应提供由省级以上监狱管理局、戒毒管理局（含新疆生产建设兵团）出具的属于监狱企业的证明文件。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②监狱企业视同小型、微型企业。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（3）残疾人福利性单位指同时符合下列条件的单位：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①安置的残疾人占本单位在职职工人数的比例不低于</w:t>
      </w:r>
      <w:r>
        <w:rPr>
          <w:rFonts w:hint="default" w:ascii="Calibri" w:hAnsi="Calibri" w:cs="Calibri"/>
          <w:spacing w:val="0"/>
          <w:sz w:val="24"/>
          <w:szCs w:val="24"/>
        </w:rPr>
        <w:t>25%</w:t>
      </w:r>
      <w:r>
        <w:rPr>
          <w:rFonts w:hint="eastAsia" w:ascii="宋体" w:hAnsi="宋体" w:eastAsia="宋体" w:cs="宋体"/>
          <w:spacing w:val="0"/>
          <w:sz w:val="24"/>
          <w:szCs w:val="24"/>
        </w:rPr>
        <w:t>（含</w:t>
      </w:r>
      <w:r>
        <w:rPr>
          <w:rFonts w:hint="default" w:ascii="Calibri" w:hAnsi="Calibri" w:cs="Calibri"/>
          <w:spacing w:val="0"/>
          <w:sz w:val="24"/>
          <w:szCs w:val="24"/>
        </w:rPr>
        <w:t>25%</w:t>
      </w:r>
      <w:r>
        <w:rPr>
          <w:rFonts w:hint="eastAsia" w:ascii="宋体" w:hAnsi="宋体" w:eastAsia="宋体" w:cs="宋体"/>
          <w:spacing w:val="0"/>
          <w:sz w:val="24"/>
          <w:szCs w:val="24"/>
        </w:rPr>
        <w:t>），并且安置的残疾人人数不少于</w:t>
      </w:r>
      <w:r>
        <w:rPr>
          <w:rFonts w:hint="default" w:ascii="Calibri" w:hAnsi="Calibri" w:cs="Calibri"/>
          <w:spacing w:val="0"/>
          <w:sz w:val="24"/>
          <w:szCs w:val="24"/>
        </w:rPr>
        <w:t>10</w:t>
      </w:r>
      <w:r>
        <w:rPr>
          <w:rFonts w:hint="eastAsia" w:ascii="宋体" w:hAnsi="宋体" w:eastAsia="宋体" w:cs="宋体"/>
          <w:spacing w:val="0"/>
          <w:sz w:val="24"/>
          <w:szCs w:val="24"/>
        </w:rPr>
        <w:t>人（含</w:t>
      </w:r>
      <w:r>
        <w:rPr>
          <w:rFonts w:hint="default" w:ascii="Calibri" w:hAnsi="Calibri" w:cs="Calibri"/>
          <w:spacing w:val="0"/>
          <w:sz w:val="24"/>
          <w:szCs w:val="24"/>
        </w:rPr>
        <w:t>10</w:t>
      </w:r>
      <w:r>
        <w:rPr>
          <w:rFonts w:hint="eastAsia" w:ascii="宋体" w:hAnsi="宋体" w:eastAsia="宋体" w:cs="宋体"/>
          <w:spacing w:val="0"/>
          <w:sz w:val="24"/>
          <w:szCs w:val="24"/>
        </w:rPr>
        <w:t>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②依法与安置的每位残疾人签订了一年以上（含一年）的劳动合同或服务协议；</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③为安置的每位残疾人按月足额缴纳了基本养老保险、基本医疗保险、失业保险、工伤保险和生育保险等社会保险费；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④通过银行等金融机构向安置的每位残疾人，按月支付了不低于单位所在区县适用的经省级人民政府批准的月最低工资标准的工资；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⑤提供本单位制造的货物、承担的工程或服务，或提供其他残疾人福利性单位制造的货物（不包括使用非残疾人福利性单位注册商标的货物）。</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前款所称残疾人指法定劳动年龄内，持有《中华人民共和国残疾人证》或《中华人民共和国残疾军人证（1至</w:t>
      </w:r>
      <w:r>
        <w:rPr>
          <w:rFonts w:hint="default" w:ascii="Calibri" w:hAnsi="Calibri" w:cs="Calibri"/>
          <w:spacing w:val="0"/>
          <w:sz w:val="24"/>
          <w:szCs w:val="24"/>
        </w:rPr>
        <w:t>8</w:t>
      </w:r>
      <w:r>
        <w:rPr>
          <w:rFonts w:hint="eastAsia" w:ascii="宋体" w:hAnsi="宋体" w:eastAsia="宋体" w:cs="宋体"/>
          <w:spacing w:val="0"/>
          <w:sz w:val="24"/>
          <w:szCs w:val="24"/>
        </w:rPr>
        <w:t>级）》的自然人，包括具有劳动条件和劳动意愿的精神残疾人。在职职工人数是指与残疾人福利性单位建立劳动关系并依法签订劳动合同或服务协议的雇员人数。</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九、本项目的有关信息</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十、其他事项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19、其他事项：详见招标文件第二章。</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4"/>
          <w:szCs w:val="24"/>
        </w:rPr>
        <w:t> </w:t>
      </w:r>
    </w:p>
    <w:p>
      <w:pPr>
        <w:pStyle w:val="6"/>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第四章   资格审查与评标</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一、资格审查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负责资格审查小组的组建及资格审查工作的组织。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的工作人员。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6"/>
        <w:keepNext w:val="0"/>
        <w:keepLines w:val="0"/>
        <w:widowControl/>
        <w:suppressLineNumbers w:val="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单位负责人授权书（若有）</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营业执照等证明文件</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财务状况报告（财务报告、或资信证明、或投标担保函）</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依法缴纳税收证明材料</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依法缴纳社会保障资金证明材料</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具备履行合同所必需设备和专业技术能力的声明函（若有）</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参加采购活动前三年内在经营活动中没有重大违法记录书面声明</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信用记录查询结果</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中小企业声明函（专门面向中小企业或小型、微型企业适用，若有）</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联合体协议（若有）</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检察机关行贿犯罪档案查询结果告知函（若有）</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②.其他资格证明文件：</w:t>
      </w:r>
    </w:p>
    <w:p>
      <w:pPr>
        <w:pStyle w:val="6"/>
        <w:keepNext w:val="0"/>
        <w:keepLines w:val="0"/>
        <w:widowControl/>
        <w:suppressLineNumbers w:val="0"/>
        <w:spacing w:before="75" w:beforeAutospacing="0" w:after="75" w:afterAutospacing="0"/>
        <w:ind w:left="0" w:right="0" w:firstLine="480"/>
      </w:pPr>
      <w:r>
        <w:rPr>
          <w:rStyle w:val="8"/>
          <w:spacing w:val="0"/>
          <w:sz w:val="24"/>
          <w:szCs w:val="24"/>
        </w:rPr>
        <w:t>包：1</w:t>
      </w:r>
    </w:p>
    <w:tbl>
      <w:tblPr>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45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8"/>
          <w:rFonts w:hint="eastAsia" w:ascii="宋体" w:hAnsi="宋体" w:eastAsia="宋体" w:cs="宋体"/>
          <w:spacing w:val="0"/>
          <w:sz w:val="24"/>
          <w:szCs w:val="24"/>
        </w:rPr>
        <w:t>资格审查不合格：</w:t>
      </w:r>
      <w:r>
        <w:rPr>
          <w:rStyle w:val="8"/>
          <w:rFonts w:hint="eastAsia" w:ascii="宋体" w:hAnsi="宋体" w:eastAsia="宋体" w:cs="宋体"/>
          <w:spacing w:val="0"/>
          <w:sz w:val="24"/>
          <w:szCs w:val="24"/>
        </w:rPr>
        <w:br w:type="textWrapping"/>
      </w:r>
      <w:r>
        <w:rPr>
          <w:rFonts w:hint="eastAsia" w:ascii="宋体" w:hAnsi="宋体" w:eastAsia="宋体" w:cs="宋体"/>
        </w:rPr>
        <w:t>  （1）一般情形：</w:t>
      </w:r>
    </w:p>
    <w:tbl>
      <w:tblPr>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（2）本项目规定的其他情形：</w:t>
      </w:r>
    </w:p>
    <w:p>
      <w:pPr>
        <w:pStyle w:val="6"/>
        <w:keepNext w:val="0"/>
        <w:keepLines w:val="0"/>
        <w:widowControl/>
        <w:suppressLineNumbers w:val="0"/>
        <w:ind w:left="0" w:firstLine="480"/>
      </w:pPr>
      <w:r>
        <w:rPr>
          <w:rStyle w:val="8"/>
        </w:rPr>
        <w:t>包：1</w:t>
      </w:r>
      <w:r>
        <w:t> </w:t>
      </w:r>
      <w:r>
        <w:br w:type="textWrapping"/>
      </w:r>
      <w:r>
        <w:rPr>
          <w:rStyle w:val="8"/>
          <w:sz w:val="24"/>
          <w:szCs w:val="24"/>
        </w:rPr>
        <w:t>         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二、评标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福建省机电设备招标有限公司负责评标委员会的组建及评标工作的组织。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7</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福建省机电设备招标有限公司</w:t>
      </w:r>
      <w:r>
        <w:rPr>
          <w:rFonts w:hint="eastAsia" w:ascii="宋体" w:hAnsi="宋体" w:eastAsia="宋体" w:cs="宋体"/>
          <w:spacing w:val="0"/>
          <w:sz w:val="24"/>
          <w:szCs w:val="24"/>
        </w:rPr>
        <w:t>或投标人提供的要求保密的资料，不得摘记翻印和外传。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※对违反评标纪律的评委，将取消其评委资格，对评标工作造成严重损失者将予以通报批评乃至追究法律责任。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8"/>
          <w:rFonts w:hint="eastAsia" w:ascii="宋体" w:hAnsi="宋体" w:eastAsia="宋体" w:cs="宋体"/>
          <w:spacing w:val="0"/>
          <w:sz w:val="24"/>
          <w:szCs w:val="24"/>
        </w:rPr>
        <w:t>符合性审查不合格：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①一般情形：</w:t>
      </w:r>
    </w:p>
    <w:tbl>
      <w:tblPr>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包：1</w:t>
      </w:r>
      <w:r>
        <w:rPr>
          <w:rFonts w:hint="eastAsia" w:ascii="宋体" w:hAnsi="宋体" w:eastAsia="宋体" w:cs="宋体"/>
          <w:spacing w:val="0"/>
          <w:sz w:val="24"/>
          <w:szCs w:val="24"/>
        </w:rPr>
        <w:t> </w:t>
      </w:r>
      <w:r>
        <w:br w:type="textWrapping"/>
      </w:r>
      <w:r>
        <w:rPr>
          <w:rStyle w:val="8"/>
          <w:sz w:val="24"/>
          <w:szCs w:val="24"/>
        </w:rPr>
        <w:t>         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※同时出现两种以上不一致的，按照前款规定的顺序修正。修正后的报价应按照本章第</w:t>
      </w:r>
      <w:r>
        <w:rPr>
          <w:rStyle w:val="8"/>
          <w:rFonts w:hint="default" w:ascii="Calibri" w:hAnsi="Calibri" w:cs="Calibri"/>
          <w:spacing w:val="0"/>
          <w:sz w:val="24"/>
          <w:szCs w:val="24"/>
        </w:rPr>
        <w:t>6.3</w:t>
      </w:r>
      <w:r>
        <w:rPr>
          <w:rStyle w:val="8"/>
          <w:rFonts w:hint="eastAsia" w:ascii="宋体" w:hAnsi="宋体" w:eastAsia="宋体" w:cs="宋体"/>
          <w:spacing w:val="0"/>
          <w:sz w:val="24"/>
          <w:szCs w:val="24"/>
        </w:rPr>
        <w:t>条第（</w:t>
      </w:r>
      <w:r>
        <w:rPr>
          <w:rStyle w:val="8"/>
          <w:rFonts w:hint="default" w:ascii="Calibri" w:hAnsi="Calibri" w:cs="Calibri"/>
          <w:spacing w:val="0"/>
          <w:sz w:val="24"/>
          <w:szCs w:val="24"/>
        </w:rPr>
        <w:t>1</w:t>
      </w:r>
      <w:r>
        <w:rPr>
          <w:rStyle w:val="8"/>
          <w:rFonts w:hint="eastAsia" w:ascii="宋体" w:hAnsi="宋体" w:eastAsia="宋体" w:cs="宋体"/>
          <w:spacing w:val="0"/>
          <w:sz w:val="24"/>
          <w:szCs w:val="24"/>
        </w:rPr>
        <w:t>）、（</w:t>
      </w:r>
      <w:r>
        <w:rPr>
          <w:rStyle w:val="8"/>
          <w:rFonts w:hint="default" w:ascii="Calibri" w:hAnsi="Calibri" w:cs="Calibri"/>
          <w:spacing w:val="0"/>
          <w:sz w:val="24"/>
          <w:szCs w:val="24"/>
        </w:rPr>
        <w:t>2</w:t>
      </w:r>
      <w:r>
        <w:rPr>
          <w:rStyle w:val="8"/>
          <w:rFonts w:hint="eastAsia" w:ascii="宋体" w:hAnsi="宋体" w:eastAsia="宋体" w:cs="宋体"/>
          <w:spacing w:val="0"/>
          <w:sz w:val="24"/>
          <w:szCs w:val="24"/>
        </w:rPr>
        <w:t>）款规定经投标人确认后产生约束力，投标人不确认的，其投标无效。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8"/>
          <w:rFonts w:hint="eastAsia" w:ascii="宋体" w:hAnsi="宋体" w:eastAsia="宋体" w:cs="宋体"/>
          <w:spacing w:val="0"/>
          <w:sz w:val="24"/>
          <w:szCs w:val="24"/>
        </w:rPr>
        <w:t>（政府采购服务类项目不适用本条款规定）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8"/>
          <w:rFonts w:hint="eastAsia" w:ascii="宋体" w:hAnsi="宋体" w:eastAsia="宋体" w:cs="宋体"/>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处理。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8"/>
          <w:rFonts w:hint="eastAsia" w:ascii="宋体" w:hAnsi="宋体" w:eastAsia="宋体" w:cs="宋体"/>
          <w:spacing w:val="0"/>
          <w:sz w:val="24"/>
          <w:szCs w:val="24"/>
        </w:rPr>
        <w:t>持不同意见的评委应在评标报告上签署不同意见及理由，否则视为同意评标报告。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，并书面报告本项目监督管理部门：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※若废标，则本次采购活动结束，</w:t>
      </w:r>
      <w:r>
        <w:rPr>
          <w:rFonts w:hint="eastAsia" w:ascii="宋体" w:hAnsi="宋体" w:eastAsia="宋体" w:cs="宋体"/>
          <w:spacing w:val="0"/>
          <w:sz w:val="24"/>
          <w:szCs w:val="24"/>
          <w:u w:val="single"/>
        </w:rPr>
        <w:t>福建省机电设备招标有限公司</w:t>
      </w:r>
      <w:r>
        <w:rPr>
          <w:rStyle w:val="8"/>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合同包1采用综合评分法。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Style w:val="8"/>
          <w:rFonts w:hint="eastAsia" w:ascii="宋体" w:hAnsi="宋体" w:eastAsia="宋体" w:cs="宋体"/>
          <w:color w:val="393939"/>
          <w:sz w:val="24"/>
          <w:szCs w:val="24"/>
          <w:shd w:val="clear" w:fill="FFFFFF"/>
        </w:rPr>
        <w:t>合同包1采用综合评分法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ind w:lef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ind w:lef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ind w:left="0" w:firstLine="480"/>
      </w:pPr>
      <w:r>
        <w:rPr>
          <w:rFonts w:hint="eastAsia" w:ascii="宋体" w:hAnsi="宋体" w:eastAsia="宋体" w:cs="宋体"/>
          <w:sz w:val="24"/>
          <w:szCs w:val="24"/>
        </w:rPr>
        <w:t>（3）各项评审因素的设置如下：</w:t>
      </w:r>
    </w:p>
    <w:p>
      <w:pPr>
        <w:pStyle w:val="6"/>
        <w:keepNext w:val="0"/>
        <w:keepLines w:val="0"/>
        <w:widowControl/>
        <w:suppressLineNumbers w:val="0"/>
        <w:ind w:lef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30</w:t>
      </w:r>
      <w:r>
        <w:rPr>
          <w:rFonts w:hint="eastAsia" w:ascii="宋体" w:hAnsi="宋体" w:eastAsia="宋体" w:cs="宋体"/>
          <w:sz w:val="24"/>
          <w:szCs w:val="24"/>
        </w:rPr>
        <w:t>分。</w:t>
      </w:r>
    </w:p>
    <w:p>
      <w:pPr>
        <w:pStyle w:val="6"/>
        <w:keepNext w:val="0"/>
        <w:keepLines w:val="0"/>
        <w:widowControl/>
        <w:suppressLineNumbers w:val="0"/>
        <w:ind w:lef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ind w:lef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49"/>
        <w:gridCol w:w="74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84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4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84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4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Style w:val="8"/>
                <w:rFonts w:ascii="宋体" w:hAnsi="宋体" w:eastAsia="宋体" w:cs="宋体"/>
                <w:kern w:val="0"/>
                <w:sz w:val="24"/>
                <w:szCs w:val="24"/>
                <w:lang w:val="en-US" w:eastAsia="zh-CN" w:bidi="ar"/>
              </w:rPr>
              <w:t>根据《政府采购促进中小企业发展暂行办法》财库〔2011〕181号文的规定，参加本项目的独立投标的投标人若为符合中小企业划分标准的小型和微型企业，其提供本企业制造的产品或者提供其他小型、微型企业制造的产品参加投标的，将对其投标产品的价格给予6%的扣除，用扣除后的价格作为报价评标价参与评审。中型企业不享受该项优惠政策；小型、微型企业提供中型企业制造的货物的，视同为中型企业。参加本项目投标且符合小型或微型企业标准的供应商，必须在响应文件中按照谈判文件所附格式如实填写《中小企业声明函》，并提供其单位注册地相关主管部门出具的小型、微型企业证明材料（应加盖相关主管部门公章）；如果供应商是提供其他小型、微型企业制造的产品参加报价的，则还要提供其他小型、微型企业单位注册地相关主管部门出具的小型、微型企业证明材料（应加盖相关主管部门公章），否则视为材料不齐全，不享受价格扣除的优惠政策。供应商应当对其承诺和提供材料的真实性、合法性和准确性负责。未按招标文件要求提供《中小企业声明函》或未按上文要求提供相应小型、微型企业证明材料的，视同为不满足小型、微型企业条件和标准，不享受价格扣除的优惠政策。符合财政部、司法部文件（财库[2014]68号）规定的监狱企业以及符合《三部门联合发布关于促进残疾人就业政府采购政策的通知》规定的残疾人福利性单位视同小型、微型企业，享受前文所述“《政府采购促进中小企业发展暂行办法》价格的扣除”的政府采购政策。有关监狱企业和残疾人福利性单位应提交的相关证明资料按照招标文件第七章有关小型、微型企业证明材料的规定提交。</w:t>
            </w:r>
          </w:p>
        </w:tc>
      </w:tr>
    </w:tbl>
    <w:p>
      <w:pPr>
        <w:pStyle w:val="6"/>
        <w:keepNext w:val="0"/>
        <w:keepLines w:val="0"/>
        <w:widowControl/>
        <w:suppressLineNumbers w:val="0"/>
        <w:ind w:lef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55</w:t>
      </w:r>
      <w:r>
        <w:rPr>
          <w:rFonts w:hint="eastAsia" w:ascii="宋体" w:hAnsi="宋体" w:eastAsia="宋体" w:cs="宋体"/>
          <w:sz w:val="24"/>
          <w:szCs w:val="24"/>
        </w:rPr>
        <w:t>分。</w:t>
      </w:r>
    </w:p>
    <w:tbl>
      <w:tblPr>
        <w:tblW w:w="8304"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99"/>
        <w:gridCol w:w="388"/>
        <w:gridCol w:w="72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1.响应文件各项要求</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对招标文件第五章“招标内容及要求”中的各项要求的响应承诺等方面情况由评委进行评议并评分，所投产品全部满足或优于招标文件各项技术性能和功能要求的，得15分。若投标人所投产品有任何负偏离招标文件规定的技术要求，则评委将在15分以下进行扣分每负偏离一项扣1分，直至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2.数字化医院方案设计能力</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投标人能根据项目实际情况，提出具有建设性并符合项目实际应用需要且技术先进可行的总体解决方案。评委根据投标人提供的总体解决方案进行综合评价：评价优得3分，良得2分，一般得1分。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3.技术保障-1</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投标人整体技术架构先进实用，技术路线符合招标需求并能充分考虑医院信息化整体发展趋势。评委根据投标人提供的总体技术方案进行综合评价：评价优得3分，良得2分，一般得1分。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3.技术保障-2</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投标人应根据可能发生的故障问题，提供有效可行的系统应急方案，以保障系统正常稳定运行。并提供安全体系建议方案。评委根据投标人提供的故障解决方案进行综合评价：评价优得3分，良得2分，一般得1分。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4.项目需求响应情况-1</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投标人所提供的“HIS”解决方案满足招标文件所列的各项需求，评委根据投标人提供的业务系统解决方案进行综合评价：评价优得3分，良得2分，一般得1分。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4.项目需求响应情况-2</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投标人所提供的“EMR”解决方案满足招标文件所列的各项需求，评委根据投标人提供的业务系统解决方案进行综合评价：评价优得3分，良得2分，一般得1分。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4.项目需求响应情况-3</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投标人提供的“医技辅助系统”解决方案满足招标文件所列的各项需求，评委根据投标人提供的业务系统解决方案进行综合评价：评价优得3分，良得2分，一般得1分。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4.项目需求响应情况-4</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投标人具有检验系统(LIS)和影像系统（PACS/RIS）通过IHE功能角色或产品评测，提供证书复印件，满足上述要求的得2分，未提供者不得分。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5.业务系统方案-1</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投标人提供的“管理系统”解决方案满足招标文件所列的各项需求，评委根据投标人提供的业务系统解决方案进行综合评价：评价优得3分，良得2分，一般得1分。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5.业务系统方案-2</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投标人提供的“信息平台”解决方案满足招标文件所列的各项需求，评委根据投标人提供的业务系统解决方案进行综合评价：评价优得3分，良得2分，一般得1分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6.项目实施方案</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投标人具有成熟可靠的项目实施方案,并具有必要的质量管理体系，能保证项目正常稳定实施并保证产品稳定运行。评委根据投标人方案进行评价：评价优得3分，良得2分，一般得1分。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7.项目实施计划</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投标人制定的项目实施计划切实可行，能够遵循项目实施原则并根据项目建设实际需要合理安排项目建设进度和周期计划。评委根据投标人方案进行评价：评价优得3分，良得2分，一般得1分。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8.项目团队配置组成-1</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拟派的项目经理具备有关主管部门颁发信息系统集成及服务项目管理人员的高级项目经理和高级信息系统项目管理师证书的得2分。（投标人需提供有效期内的资质证书复印件，并提供近3个月中任意一个月（不含投标截止时间当月）的社保缴交证明材料,未提供完整资料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8.项目团队配置组成-2</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派驻的项目实施小组成员中不少于4人：1名高级系统架构师、2名中级软件设计师，1名中级网络工程师，满足前文要求条件的全部人员需提供有关主管部门颁发的相应资质证书的得2分。（投标人需提供有效期内的资质证书复印件，并提供近3个月中任意一个月（不含投标截止时间当月）的社保缴交证明材料,未提供完整资料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9.培训方案</w:t>
            </w:r>
          </w:p>
        </w:tc>
        <w:tc>
          <w:tcPr>
            <w:tcW w:w="38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1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投标人能根据项目建设需要提供切实可行的培训方案。评委根据投标人方案进行评价：评价优得3分，良得2分，一般得1分。</w:t>
            </w:r>
          </w:p>
        </w:tc>
      </w:tr>
    </w:tbl>
    <w:p>
      <w:pPr>
        <w:pStyle w:val="6"/>
        <w:keepNext w:val="0"/>
        <w:keepLines w:val="0"/>
        <w:widowControl/>
        <w:suppressLineNumbers w:val="0"/>
        <w:ind w:lef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15</w:t>
      </w:r>
      <w:r>
        <w:rPr>
          <w:rFonts w:hint="eastAsia" w:ascii="宋体" w:hAnsi="宋体" w:eastAsia="宋体" w:cs="宋体"/>
          <w:sz w:val="24"/>
          <w:szCs w:val="24"/>
        </w:rPr>
        <w:t>分。</w:t>
      </w:r>
    </w:p>
    <w:tbl>
      <w:tblPr>
        <w:tblW w:w="8305" w:type="dxa"/>
        <w:tblCellSpacing w:w="0" w:type="dxa"/>
        <w:tblInd w:w="0" w:type="dxa"/>
        <w:shd w:val="clear"/>
        <w:tblLayout w:type="fixed"/>
        <w:tblCellMar>
          <w:top w:w="0" w:type="dxa"/>
          <w:left w:w="0" w:type="dxa"/>
          <w:bottom w:w="0" w:type="dxa"/>
          <w:right w:w="0" w:type="dxa"/>
        </w:tblCellMar>
      </w:tblPr>
      <w:tblGrid>
        <w:gridCol w:w="470"/>
        <w:gridCol w:w="327"/>
        <w:gridCol w:w="7508"/>
      </w:tblGrid>
      <w:tr>
        <w:tblPrEx>
          <w:shd w:val="clear"/>
          <w:tblLayout w:type="fixed"/>
          <w:tblCellMar>
            <w:top w:w="0" w:type="dxa"/>
            <w:left w:w="0" w:type="dxa"/>
            <w:bottom w:w="0" w:type="dxa"/>
            <w:right w:w="0" w:type="dxa"/>
          </w:tblCellMar>
        </w:tblPrEx>
        <w:trPr>
          <w:tblHeader/>
          <w:tblCellSpacing w:w="0" w:type="dxa"/>
        </w:trPr>
        <w:tc>
          <w:tcPr>
            <w:tcW w:w="47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2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508"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Layout w:type="fixed"/>
          <w:tblCellMar>
            <w:top w:w="0" w:type="dxa"/>
            <w:left w:w="0" w:type="dxa"/>
            <w:bottom w:w="0" w:type="dxa"/>
            <w:right w:w="0" w:type="dxa"/>
          </w:tblCellMar>
        </w:tblPrEx>
        <w:trPr>
          <w:tblCellSpacing w:w="0" w:type="dxa"/>
        </w:trPr>
        <w:tc>
          <w:tcPr>
            <w:tcW w:w="47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1.投标人实力情况-1</w:t>
            </w:r>
          </w:p>
        </w:tc>
        <w:tc>
          <w:tcPr>
            <w:tcW w:w="32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508"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的软件开发从业经验年限进行评分，具备15年及以上经验的得3分；具备10年～14年经验的得2分，从业经验少于10年的得1分。年限计算以投标人在投标文件中提供软件产品登记证书中的落款时间为起算时间，计算至本项目投标截止当日的期间时间作为判定经验年限的标准。投标人未在投标文件中提供软件产品登记证书复印件或者软件产品登记证书中的单位名称与投标人单位名称不一致，均视同为证明资料不完全，本项得1分。</w:t>
            </w:r>
          </w:p>
        </w:tc>
      </w:tr>
      <w:tr>
        <w:tblPrEx>
          <w:tblLayout w:type="fixed"/>
          <w:tblCellMar>
            <w:top w:w="0" w:type="dxa"/>
            <w:left w:w="0" w:type="dxa"/>
            <w:bottom w:w="0" w:type="dxa"/>
            <w:right w:w="0" w:type="dxa"/>
          </w:tblCellMar>
        </w:tblPrEx>
        <w:trPr>
          <w:tblCellSpacing w:w="0" w:type="dxa"/>
        </w:trPr>
        <w:tc>
          <w:tcPr>
            <w:tcW w:w="47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1.投标人实力情况-2</w:t>
            </w:r>
          </w:p>
        </w:tc>
        <w:tc>
          <w:tcPr>
            <w:tcW w:w="32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508"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投标人具有有效期内信息系统集成及服务一级或以上资质的得2分，具有二级资质的得1分，其他等级不得分，须提供证书复印件，否则不得分。</w:t>
            </w:r>
          </w:p>
        </w:tc>
      </w:tr>
      <w:tr>
        <w:tblPrEx>
          <w:tblLayout w:type="fixed"/>
          <w:tblCellMar>
            <w:top w:w="0" w:type="dxa"/>
            <w:left w:w="0" w:type="dxa"/>
            <w:bottom w:w="0" w:type="dxa"/>
            <w:right w:w="0" w:type="dxa"/>
          </w:tblCellMar>
        </w:tblPrEx>
        <w:trPr>
          <w:tblCellSpacing w:w="0" w:type="dxa"/>
        </w:trPr>
        <w:tc>
          <w:tcPr>
            <w:tcW w:w="47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1.投标人实力情况-3</w:t>
            </w:r>
          </w:p>
        </w:tc>
        <w:tc>
          <w:tcPr>
            <w:tcW w:w="32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508"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投标人具有有效期内的ISO9001、ISO14001、ISO20000、ISO27001和GB/T28001体系认证，满足任意三项的得1分，满足任意四项的得2分，完全满足五项的得3分。（需提供有效期内的证书复印件，否则不得分。）</w:t>
            </w:r>
          </w:p>
        </w:tc>
      </w:tr>
      <w:tr>
        <w:tblPrEx>
          <w:tblLayout w:type="fixed"/>
          <w:tblCellMar>
            <w:top w:w="0" w:type="dxa"/>
            <w:left w:w="0" w:type="dxa"/>
            <w:bottom w:w="0" w:type="dxa"/>
            <w:right w:w="0" w:type="dxa"/>
          </w:tblCellMar>
        </w:tblPrEx>
        <w:trPr>
          <w:tblCellSpacing w:w="0" w:type="dxa"/>
        </w:trPr>
        <w:tc>
          <w:tcPr>
            <w:tcW w:w="47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1.投标人实力情况-4</w:t>
            </w:r>
          </w:p>
        </w:tc>
        <w:tc>
          <w:tcPr>
            <w:tcW w:w="32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7508"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投标人具有有关主管部门颁发的高新技术企业的得1分。须提供证书复印件，否则不得分。</w:t>
            </w:r>
          </w:p>
        </w:tc>
      </w:tr>
      <w:tr>
        <w:tblPrEx>
          <w:tblLayout w:type="fixed"/>
          <w:tblCellMar>
            <w:top w:w="0" w:type="dxa"/>
            <w:left w:w="0" w:type="dxa"/>
            <w:bottom w:w="0" w:type="dxa"/>
            <w:right w:w="0" w:type="dxa"/>
          </w:tblCellMar>
        </w:tblPrEx>
        <w:trPr>
          <w:tblCellSpacing w:w="0" w:type="dxa"/>
        </w:trPr>
        <w:tc>
          <w:tcPr>
            <w:tcW w:w="47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2.业绩情况</w:t>
            </w:r>
          </w:p>
        </w:tc>
        <w:tc>
          <w:tcPr>
            <w:tcW w:w="32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508"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有承建通过“国家卫生计生委医院管理研究所”和“中国医院协会信息管理专业委员会”评定的“电子病历系统功能应用分级评价”五级或五级以上项目业绩经验，每一项业绩得1分，满分2分。【业绩材料须同时提供中标公告（提供相关网站中标公告的下载网页并注明网址）、中标通知书复印件、采购合同文本复印件，以及能够证明该业绩项目已经采购人验收合格的相关证明文件复印件，用户通过五级或五级以上评价的证书复印件。所提供文件如不能详细看清以上内容或未提供，则此项不得分】。</w:t>
            </w:r>
          </w:p>
        </w:tc>
      </w:tr>
      <w:tr>
        <w:tblPrEx>
          <w:tblLayout w:type="fixed"/>
          <w:tblCellMar>
            <w:top w:w="0" w:type="dxa"/>
            <w:left w:w="0" w:type="dxa"/>
            <w:bottom w:w="0" w:type="dxa"/>
            <w:right w:w="0" w:type="dxa"/>
          </w:tblCellMar>
        </w:tblPrEx>
        <w:trPr>
          <w:tblCellSpacing w:w="0" w:type="dxa"/>
        </w:trPr>
        <w:tc>
          <w:tcPr>
            <w:tcW w:w="47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3.医院信息系统</w:t>
            </w:r>
          </w:p>
        </w:tc>
        <w:tc>
          <w:tcPr>
            <w:tcW w:w="32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7508"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投标人的医院信息系统（HIS）通过卫生主管部门信息化领导小组评审的的得1分。（需提供相关评审证书或证明材料的复印件，否则不得分）</w:t>
            </w:r>
          </w:p>
        </w:tc>
      </w:tr>
      <w:tr>
        <w:tblPrEx>
          <w:tblLayout w:type="fixed"/>
          <w:tblCellMar>
            <w:top w:w="0" w:type="dxa"/>
            <w:left w:w="0" w:type="dxa"/>
            <w:bottom w:w="0" w:type="dxa"/>
            <w:right w:w="0" w:type="dxa"/>
          </w:tblCellMar>
        </w:tblPrEx>
        <w:trPr>
          <w:tblCellSpacing w:w="0" w:type="dxa"/>
        </w:trPr>
        <w:tc>
          <w:tcPr>
            <w:tcW w:w="47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4.售后保障情况</w:t>
            </w:r>
          </w:p>
        </w:tc>
        <w:tc>
          <w:tcPr>
            <w:tcW w:w="32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508"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根据投标人售后服务保障体系、维护响应计划进行评分，包括持续服务保障情况、质保期、服务内容、响应时间、响应方式、驻点维护人数等，由评委进行综合比较评议，并在0-3分之间评分。</w:t>
            </w:r>
          </w:p>
        </w:tc>
      </w:tr>
    </w:tbl>
    <w:p>
      <w:pPr>
        <w:pStyle w:val="6"/>
        <w:keepNext w:val="0"/>
        <w:keepLines w:val="0"/>
        <w:widowControl/>
        <w:suppressLineNumbers w:val="0"/>
        <w:ind w:lef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ind w:lef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ind w:lef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W w:w="8305" w:type="dxa"/>
        <w:tblCellSpacing w:w="0" w:type="dxa"/>
        <w:tblInd w:w="0" w:type="dxa"/>
        <w:shd w:val="clear"/>
        <w:tblLayout w:type="fixed"/>
        <w:tblCellMar>
          <w:top w:w="0" w:type="dxa"/>
          <w:left w:w="0" w:type="dxa"/>
          <w:bottom w:w="0" w:type="dxa"/>
          <w:right w:w="0" w:type="dxa"/>
        </w:tblCellMar>
      </w:tblPr>
      <w:tblGrid>
        <w:gridCol w:w="762"/>
        <w:gridCol w:w="420"/>
        <w:gridCol w:w="7123"/>
      </w:tblGrid>
      <w:tr>
        <w:tblPrEx>
          <w:shd w:val="clear"/>
          <w:tblLayout w:type="fixed"/>
          <w:tblCellMar>
            <w:top w:w="0" w:type="dxa"/>
            <w:left w:w="0" w:type="dxa"/>
            <w:bottom w:w="0" w:type="dxa"/>
            <w:right w:w="0" w:type="dxa"/>
          </w:tblCellMar>
        </w:tblPrEx>
        <w:trPr>
          <w:tblHeader/>
          <w:tblCellSpacing w:w="0" w:type="dxa"/>
        </w:trPr>
        <w:tc>
          <w:tcPr>
            <w:tcW w:w="76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2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12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shd w:val="clear"/>
          <w:tblLayout w:type="fixed"/>
        </w:tblPrEx>
        <w:trPr>
          <w:tblCellSpacing w:w="0" w:type="dxa"/>
        </w:trPr>
        <w:tc>
          <w:tcPr>
            <w:tcW w:w="76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节能、减排、环境标志产品部分</w:t>
            </w:r>
          </w:p>
        </w:tc>
        <w:tc>
          <w:tcPr>
            <w:tcW w:w="42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6.8</w:t>
            </w:r>
          </w:p>
        </w:tc>
        <w:tc>
          <w:tcPr>
            <w:tcW w:w="712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①投标人所投产品如属于财政部、福建省财政厅等主管部门规定的“节能、减排、环境标志产品政府采购清单目录”内的产品，则按以下标准予以加分： 同一合同包内的节能、减排、环境标志报价总金额占该合同包报价总金额 优惠幅度 20%（含20%）以下 价格评标项 价格评标项标准总分值4%的加分 技术评标项 技术评标项标准总分值4%的加分 20%-50%（含50%） 价格评标项 价格评标项标准总分值6%的加分 技术评标项 技术评标项标准总分值6%的加分 50%以上 价格评标项 价格评标项标准总分值8%的加分 技术评标项 技术评标项标准总分值8%的加分 投标人所投产品如果符合上文规定的额外加分条件，则必须在投标文件中单列出该部分产品的报价，同时在投标文件中提供属于财政部、福建省财政厅等主管部门规定的“节能、减排、环境标志产品政府采购清单目录”内产品的完整有效的证明文件（即必须提供本项目截标时间之前财政部、环保部、福建省财政厅等主管部门已正式公布的最新一期节能、环境标志产品政府采购清单的通知以及相关的附件政府采购清单，并作好对应产品的标注），否则不享受额外加分。 注：若“节能、减排、环境标志产品政府采购清单目录”内的产品仅是构成投标产品的部件、组件或零件的，则该投标产品不享受上述额外加分。</w:t>
            </w:r>
          </w:p>
        </w:tc>
      </w:tr>
    </w:tbl>
    <w:p>
      <w:pPr>
        <w:pStyle w:val="6"/>
        <w:keepNext w:val="0"/>
        <w:keepLines w:val="0"/>
        <w:widowControl/>
        <w:suppressLineNumbers w:val="0"/>
        <w:ind w:lef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ind w:lef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ind w:lef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ind w:lef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投标人的技术部分PT最终得分应不低于技术部分PT总分的50%，否则该投标人将被作为无效标处理，不再进入第二阶段的评议和评分，不予推荐中标。</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第五章</w:t>
      </w:r>
      <w:r>
        <w:rPr>
          <w:rStyle w:val="8"/>
          <w:spacing w:val="0"/>
          <w:sz w:val="31"/>
          <w:szCs w:val="31"/>
        </w:rPr>
        <w:t>   </w:t>
      </w:r>
      <w:r>
        <w:rPr>
          <w:rStyle w:val="8"/>
          <w:rFonts w:hint="eastAsia" w:ascii="宋体" w:hAnsi="宋体" w:eastAsia="宋体" w:cs="宋体"/>
          <w:spacing w:val="0"/>
          <w:sz w:val="31"/>
          <w:szCs w:val="31"/>
        </w:rPr>
        <w:t>招标内容及要求</w:t>
      </w:r>
    </w:p>
    <w:p>
      <w:pPr>
        <w:pStyle w:val="6"/>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2"/>
        <w:keepNext w:val="0"/>
        <w:keepLines w:val="0"/>
        <w:widowControl/>
        <w:suppressLineNumbers w:val="0"/>
        <w:spacing w:before="0" w:beforeAutospacing="0" w:after="0" w:afterAutospacing="0" w:line="405" w:lineRule="atLeast"/>
      </w:pPr>
      <w:r>
        <w:rPr>
          <w:rStyle w:val="8"/>
          <w:rFonts w:hint="eastAsia" w:ascii="宋体" w:hAnsi="宋体" w:eastAsia="宋体" w:cs="宋体"/>
          <w:b/>
          <w:sz w:val="28"/>
          <w:szCs w:val="28"/>
        </w:rPr>
        <w:t>1.项目概况</w:t>
      </w:r>
    </w:p>
    <w:p>
      <w:pPr>
        <w:pStyle w:val="3"/>
        <w:keepNext w:val="0"/>
        <w:keepLines w:val="0"/>
        <w:widowControl/>
        <w:suppressLineNumbers w:val="0"/>
        <w:spacing w:before="0" w:beforeAutospacing="0" w:after="0" w:afterAutospacing="0" w:line="405" w:lineRule="atLeast"/>
        <w:ind w:left="0" w:firstLine="480"/>
      </w:pPr>
      <w:r>
        <w:rPr>
          <w:rStyle w:val="8"/>
          <w:rFonts w:hint="eastAsia" w:ascii="宋体" w:hAnsi="宋体" w:eastAsia="宋体" w:cs="宋体"/>
          <w:b/>
          <w:sz w:val="24"/>
          <w:szCs w:val="24"/>
        </w:rPr>
        <w:t>1.1 项目目标</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以国家新医改方针政策及卫生“十三五”规划为指导，以 《基于电子病历的医院信息平台技术规范》、《 基于居民健康档案的区域卫生信息平台技术规范》、《 基于居民健康档案的区域卫生信息平台技术规范》、医院等级评审要求等规范为依据，在满足医院建设和发展，借鉴国内外的先进经验，结合医院实际情况，运用最新的最先进的IT技术对全院的信息资源（人、财、物、医疗信息）进行全面的规划、设 计和整合，进行各种数字化系统的建设和系统培训，对全院的信息资源（人，财，物，医疗信息）进行全面的数字化，全面的优化和整合医院内部的资源以及医院外部全社会的信息资源为医院临床，管理服务，运用所有的信息资源为患者提供先进的，便捷的，人性化的医疗服务; 同时建立全院科研教学的信息平台和数据仓库；以提高医院服务水平，技术水平及管理水平；从诊断、治疗、护理、康复、保健等各方面都展现出现代先进的全新面貌，打造智慧型的数字化医院。</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w:t>
      </w:r>
      <w:r>
        <w:rPr>
          <w:rStyle w:val="8"/>
          <w:rFonts w:hint="eastAsia" w:ascii="宋体" w:hAnsi="宋体" w:eastAsia="宋体" w:cs="宋体"/>
          <w:sz w:val="24"/>
          <w:szCs w:val="24"/>
        </w:rPr>
        <w:t>便捷服务流程、便利患者，健康服务智慧化</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福建医科大学附属第三医院信息系统建设的第一大目标就是按照以“患者为中心”的原则，利用信息化技术加快医疗业务信息处理、改造诊疗服务流程，方便病人就诊,减轻区域内居民的“看病贵、看病难、看病烦”问题，同时依靠切实的便民措施、发挥诊疗的地理优势吸引域内居民患者选择到就近的医院就诊。</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w:t>
      </w:r>
      <w:r>
        <w:rPr>
          <w:rStyle w:val="8"/>
          <w:rFonts w:hint="eastAsia" w:ascii="宋体" w:hAnsi="宋体" w:eastAsia="宋体" w:cs="宋体"/>
          <w:sz w:val="24"/>
          <w:szCs w:val="24"/>
        </w:rPr>
        <w:t>加强医疗质量管理，提高诊疗水平</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福建医科大学附属第三医院信息系统建设的第二大目标是利用信息化技术减轻医护工作人员在开展诊疗业务活动时，在进行必要的文书记录等伴随工作时的工作负担,能够节约出更多时间和精力用于同患者的沟通和诊疗本身，以提高医疗技术、服务质量和满意度。</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w:t>
      </w:r>
      <w:r>
        <w:rPr>
          <w:rStyle w:val="8"/>
          <w:rFonts w:hint="eastAsia" w:ascii="宋体" w:hAnsi="宋体" w:eastAsia="宋体" w:cs="宋体"/>
          <w:sz w:val="24"/>
          <w:szCs w:val="24"/>
        </w:rPr>
        <w:t>加强运营管理、提升效益</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福建医科大学附属第三医院信息系统建设的第三大目标是通过信息化建设加强运营管理，实现精细化管理。利用诊疗和服务中产生的各种有关数据来分析指导降低人力和材料成本，提高工作绩效，强化物资流动管理，便于开展行政管理，有利于对医院各种业务和服务进行监管，并对医院经营管理提供决策支持。</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w:t>
      </w:r>
      <w:r>
        <w:rPr>
          <w:rStyle w:val="8"/>
          <w:rFonts w:hint="eastAsia" w:ascii="宋体" w:hAnsi="宋体" w:eastAsia="宋体" w:cs="宋体"/>
          <w:sz w:val="24"/>
          <w:szCs w:val="24"/>
        </w:rPr>
        <w:t>区域医疗 合 作与资源共享</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与福建医科大学附属协和医院开展双向转诊等医疗 合 作则既可以整合优化区域内的医疗卫生服务资源，使得各级医院专注与并发挥各自业务特长，既可以提高医疗资源合理利用率，又方便患者的诊疗与康复。</w:t>
      </w:r>
    </w:p>
    <w:p>
      <w:pPr>
        <w:pStyle w:val="3"/>
        <w:keepNext w:val="0"/>
        <w:keepLines w:val="0"/>
        <w:widowControl/>
        <w:suppressLineNumbers w:val="0"/>
        <w:spacing w:before="0" w:beforeAutospacing="0" w:after="0" w:afterAutospacing="0" w:line="405" w:lineRule="atLeast"/>
        <w:ind w:left="0" w:firstLine="480"/>
      </w:pPr>
      <w:r>
        <w:rPr>
          <w:rStyle w:val="8"/>
          <w:rFonts w:hint="eastAsia" w:ascii="宋体" w:hAnsi="宋体" w:eastAsia="宋体" w:cs="宋体"/>
          <w:b/>
          <w:sz w:val="24"/>
          <w:szCs w:val="24"/>
        </w:rPr>
        <w:t>1.2 建</w:t>
      </w:r>
      <w:r>
        <w:rPr>
          <w:rFonts w:hint="eastAsia" w:ascii="宋体" w:hAnsi="宋体" w:eastAsia="宋体" w:cs="宋体"/>
          <w:sz w:val="24"/>
          <w:szCs w:val="24"/>
        </w:rPr>
        <w:t>设原则</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福建医科大学附属第三医院信息系统建设应当遵循 “统一规划、分步实施，统一标准、全面整合，统一架构、持续完善，循序渐进、按需拓展”的建设原则</w:t>
      </w:r>
    </w:p>
    <w:p>
      <w:pPr>
        <w:pStyle w:val="6"/>
        <w:keepNext w:val="0"/>
        <w:keepLines w:val="0"/>
        <w:widowControl/>
        <w:suppressLineNumbers w:val="0"/>
        <w:spacing w:before="0" w:beforeAutospacing="0" w:after="0" w:afterAutospacing="0" w:line="405" w:lineRule="atLeast"/>
        <w:ind w:left="0" w:firstLine="480"/>
      </w:pPr>
      <w:r>
        <w:rPr>
          <w:rStyle w:val="8"/>
          <w:rFonts w:hint="eastAsia" w:ascii="宋体" w:hAnsi="宋体" w:eastAsia="宋体" w:cs="宋体"/>
          <w:sz w:val="24"/>
          <w:szCs w:val="24"/>
        </w:rPr>
        <w:t>1.2.1统一规划、分步实施</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根据国家“十三五”医疗卫生信息化建设发展规划的有关要求，统一制定医院数字化建设方案。并结合医院医疗卫生体制改革的总体工作部署、资金情况，以及医院规模、需求和能力条件等因素，分阶段实施。</w:t>
      </w:r>
    </w:p>
    <w:p>
      <w:pPr>
        <w:pStyle w:val="6"/>
        <w:keepNext w:val="0"/>
        <w:keepLines w:val="0"/>
        <w:widowControl/>
        <w:suppressLineNumbers w:val="0"/>
        <w:spacing w:before="0" w:beforeAutospacing="0" w:after="0" w:afterAutospacing="0" w:line="405" w:lineRule="atLeast"/>
        <w:ind w:left="0" w:firstLine="480"/>
      </w:pPr>
      <w:r>
        <w:rPr>
          <w:rStyle w:val="8"/>
          <w:rFonts w:hint="eastAsia" w:ascii="宋体" w:hAnsi="宋体" w:eastAsia="宋体" w:cs="宋体"/>
          <w:sz w:val="24"/>
          <w:szCs w:val="24"/>
        </w:rPr>
        <w:t>1.2.2统一标准、全面整合</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福建医科大学附属第三医院信息系统建设须严格按照卫生部统一制定的各项业务规范和信息化标准，在强化以患者为中心的诊疗信息资源整合和利用，强化医疗行为监管的同时实现信息系统的规范化、标准化。在充分考虑各医院资源条件和发展状况基础上，实行统筹 设 计，全面整合，务求实效。</w:t>
      </w:r>
    </w:p>
    <w:p>
      <w:pPr>
        <w:pStyle w:val="6"/>
        <w:keepNext w:val="0"/>
        <w:keepLines w:val="0"/>
        <w:widowControl/>
        <w:suppressLineNumbers w:val="0"/>
        <w:spacing w:before="0" w:beforeAutospacing="0" w:after="0" w:afterAutospacing="0" w:line="405" w:lineRule="atLeast"/>
        <w:ind w:left="0" w:firstLine="480"/>
      </w:pPr>
      <w:r>
        <w:rPr>
          <w:rStyle w:val="8"/>
          <w:rFonts w:hint="eastAsia" w:ascii="宋体" w:hAnsi="宋体" w:eastAsia="宋体" w:cs="宋体"/>
          <w:sz w:val="24"/>
          <w:szCs w:val="24"/>
        </w:rPr>
        <w:t>1.2.3循序渐进、按需拓展</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福建医科大学附属第三医院信息系统建设必须满足医院日常实际医疗业务工作对信息系统提出的新需求循序渐进，按需对系统的功能与操作进行拓展。</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405" w:lineRule="atLeast"/>
      </w:pPr>
      <w:r>
        <w:rPr>
          <w:rStyle w:val="8"/>
          <w:rFonts w:hint="eastAsia" w:ascii="宋体" w:hAnsi="宋体" w:eastAsia="宋体" w:cs="宋体"/>
          <w:b/>
          <w:sz w:val="28"/>
          <w:szCs w:val="28"/>
        </w:rPr>
        <w:t>2 技术要求</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本技术要求中标有★项的技术需求均为必须实质性响应的参数需求，若★项有负偏离等不满足参数需求的响应，则视为非实质性响应投标，作废标处理。</w:t>
      </w:r>
    </w:p>
    <w:p>
      <w:pPr>
        <w:pStyle w:val="3"/>
        <w:keepNext w:val="0"/>
        <w:keepLines w:val="0"/>
        <w:widowControl/>
        <w:suppressLineNumbers w:val="0"/>
        <w:spacing w:before="0" w:beforeAutospacing="0" w:after="0" w:afterAutospacing="0" w:line="405" w:lineRule="atLeast"/>
        <w:ind w:left="0" w:firstLine="480"/>
      </w:pPr>
      <w:r>
        <w:rPr>
          <w:rStyle w:val="8"/>
          <w:rFonts w:hint="eastAsia" w:ascii="宋体" w:hAnsi="宋体" w:eastAsia="宋体" w:cs="宋体"/>
          <w:b/>
          <w:sz w:val="24"/>
          <w:szCs w:val="24"/>
        </w:rPr>
        <w:t>2.1 设 计原则</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1）建设的系统必须按照国家卫生部2002年发布的《医院信息管理系统规范》的要求以及国家信息管理的标准、HIS（医院信息管理系统）按HL7数据交换标准；其中CIS（临床信息系统）按ICD-10、SNOMED、结构化电子病历XML设 计；PACS（影像储存与传输系统）按DICOM3.0标准；LIS（检验信息系统）按ASTM协议等国际信息交换标准等。相关产品应遵循医院信息系统功能规范、数字化医院试点示范信息化建设要求以及电子病历分级评价五级或以上应用能力水平和互联互通四甲相关评测要求，遵循中国数字化医疗设备和医学信息系统的标准化进程，遵循IHE测试相关标准要求。产品应遵循医院的相关行业标准并制定相应的技术接口，支持以集成平台进行应用集成的技术标准，实现较高的标准化要求，以达到统一管理，统一标准，互联互通的要求。采用开放的、可扩展的数据标准，支持数据标准的动态变化，支持HL7标准，以及向后兼容今后国家、行业、地方所出台的数据标准等。</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2）系统应采用灵活的、稳定的信息技术架构，整个系统平台架构采用门户平台方式，可以集成B/S与C/S多种架构体系的不同产品，可以灵活配置用户使用功能及界面，能满足医院日益变化的个性化需求。通过门户可以对其他各种业务系统进行统一安全认证管理，实现整个业务系统的单点登陆。</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3）整个信息系统应采用统一的界面风格，建立图形导航图，用户可以根据自己操作习惯配置自己常用功能的快捷方式。在操作界面上提供多种人性化的提示符号。主要功能的按钮图片放大处理，让操作员操作更加清晰。对于主要的各项操作功能，应在系统上建立帮助系统。建立系统间的消息系统。</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（4）系统应能能实现统一维护，统一权限管理，统一数据库链接池管理。具有自动更新升级管理和错误日志管理功能。</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5）系统应满足实现系统7×24h连续安全运行，性能可靠，易于维护。系统具有高可靠性和多种应急解决方案。设置有多种内部网络设置层级授权机制，设定系统内部终端和访问者的权限，设定操作者多层级电子签名机制，防止数据删改和电子确认的漏洞。系统在安全性上提供的设置和措施应包括：</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严格的权限与登录管理</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采用分级授权模式，对于不同的数据和功能模块，不同用户和组别具有不同的增加、修改、删除、打印权限。</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应急解决方案</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日志监控管理</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关键数据加密管理</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屏幕锁定保护管理</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关键记录修改记录管理</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（6） 整合性与扩展性</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系统应采用灵活的基于门户的可扩展性架构，系统可以融合各类不同体系架构产品。系统所有功能菜单可按用户角色的需求进行随时调整和组建。</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同时医院信息系统按照国际、国内有关标准开发。</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采用开放式的系统软件平台、模块化的应用软件结构，系统应能灵活地扩充其业务功能，并可与其它业务系统进行无缝互连。</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（7） 高性能</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系统应充分考虑医院程序大业务量环境中运行的效率，防止死锁和并发操作。系统应支持自动任务管理系统，可以把比较大的，时实性不强的业务放到晚上执行，整个过程无须人工干涉，以合理分配医院服务器的资源，提高医院服务器的利用率。</w:t>
      </w:r>
    </w:p>
    <w:p>
      <w:pPr>
        <w:pStyle w:val="6"/>
        <w:keepNext w:val="0"/>
        <w:keepLines w:val="0"/>
        <w:widowControl/>
        <w:suppressLineNumbers w:val="0"/>
        <w:spacing w:before="0" w:beforeAutospacing="0" w:after="0" w:afterAutospacing="0" w:line="405" w:lineRule="atLeast"/>
        <w:ind w:left="0" w:firstLine="420"/>
      </w:pPr>
      <w:r>
        <w:rPr>
          <w:rFonts w:hint="eastAsia" w:ascii="宋体" w:hAnsi="宋体" w:eastAsia="宋体" w:cs="宋体"/>
          <w:sz w:val="24"/>
          <w:szCs w:val="24"/>
        </w:rPr>
        <w:t> </w:t>
      </w:r>
    </w:p>
    <w:p>
      <w:pPr>
        <w:pStyle w:val="3"/>
        <w:keepNext w:val="0"/>
        <w:keepLines w:val="0"/>
        <w:widowControl/>
        <w:suppressLineNumbers w:val="0"/>
        <w:spacing w:before="0" w:beforeAutospacing="0" w:after="0" w:afterAutospacing="0" w:line="405" w:lineRule="atLeast"/>
        <w:ind w:left="0" w:firstLine="630"/>
      </w:pPr>
      <w:r>
        <w:rPr>
          <w:rStyle w:val="8"/>
          <w:rFonts w:hint="eastAsia" w:ascii="宋体" w:hAnsi="宋体" w:eastAsia="宋体" w:cs="宋体"/>
          <w:b/>
          <w:sz w:val="24"/>
          <w:szCs w:val="24"/>
        </w:rPr>
        <w:t>2.2 总体 设 计要求</w:t>
      </w:r>
    </w:p>
    <w:p>
      <w:pPr>
        <w:pStyle w:val="4"/>
        <w:keepNext w:val="0"/>
        <w:keepLines w:val="0"/>
        <w:widowControl/>
        <w:suppressLineNumbers w:val="0"/>
        <w:spacing w:before="0" w:beforeAutospacing="0" w:after="0" w:afterAutospacing="0" w:line="405" w:lineRule="atLeast"/>
        <w:ind w:left="0" w:firstLine="630"/>
      </w:pPr>
      <w:r>
        <w:rPr>
          <w:rStyle w:val="8"/>
          <w:rFonts w:hint="eastAsia" w:ascii="宋体" w:hAnsi="宋体" w:eastAsia="宋体" w:cs="宋体"/>
          <w:b/>
          <w:sz w:val="24"/>
          <w:szCs w:val="24"/>
        </w:rPr>
        <w:t>2.2.1 应用系统所需特</w:t>
      </w:r>
      <w:r>
        <w:rPr>
          <w:rFonts w:hint="eastAsia" w:ascii="宋体" w:hAnsi="宋体" w:eastAsia="宋体" w:cs="宋体"/>
          <w:sz w:val="24"/>
          <w:szCs w:val="24"/>
        </w:rPr>
        <w:t>性</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为了满足可适应性、易操作性、以及适应医院未来的发展，应用系统需满足以下特性：</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支持用户自己可配置的规则管理，提供工具和功能，根据因业务规则和管理需求的变化而配置产品，使之能良好适应需求的变化，持续支撑医院业务发展</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支持用户可配置的工作流程管理，提供工具和功能，根据因环境或内部流程的变化而配置产品，使之能良好适应需求的变化，持续支撑医院业务发展</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用户可以按自己的习惯配置界面；提供简洁的操作；丰富的提示；一致的操作模式</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提供应用开发框架</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用户可以灵活的使用现有功能组件建立自己的应用</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可将用户开发的组件通过应用程序工具加入到应用</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客户端能根据服务器的要求而自动升级</w:t>
      </w:r>
    </w:p>
    <w:p>
      <w:pPr>
        <w:pStyle w:val="6"/>
        <w:keepNext w:val="0"/>
        <w:keepLines w:val="0"/>
        <w:widowControl/>
        <w:suppressLineNumbers w:val="0"/>
        <w:spacing w:before="0" w:beforeAutospacing="0" w:after="0" w:afterAutospacing="0" w:line="405" w:lineRule="atLeast"/>
        <w:ind w:left="0" w:firstLine="420"/>
      </w:pPr>
      <w:r>
        <w:rPr>
          <w:rFonts w:hint="eastAsia" w:ascii="宋体" w:hAnsi="宋体" w:eastAsia="宋体" w:cs="宋体"/>
          <w:sz w:val="24"/>
          <w:szCs w:val="24"/>
        </w:rPr>
        <w:t> </w:t>
      </w:r>
    </w:p>
    <w:p>
      <w:pPr>
        <w:pStyle w:val="4"/>
        <w:keepNext w:val="0"/>
        <w:keepLines w:val="0"/>
        <w:widowControl/>
        <w:suppressLineNumbers w:val="0"/>
        <w:spacing w:before="0" w:beforeAutospacing="0" w:after="0" w:afterAutospacing="0" w:line="405" w:lineRule="atLeast"/>
        <w:ind w:left="0" w:firstLine="480"/>
      </w:pPr>
      <w:r>
        <w:rPr>
          <w:rStyle w:val="8"/>
          <w:rFonts w:hint="eastAsia" w:ascii="宋体" w:hAnsi="宋体" w:eastAsia="宋体" w:cs="宋体"/>
          <w:b/>
          <w:sz w:val="24"/>
          <w:szCs w:val="24"/>
        </w:rPr>
        <w:t>2.2.2 应用架构 设 计</w:t>
      </w:r>
      <w:r>
        <w:rPr>
          <w:rFonts w:hint="eastAsia" w:ascii="宋体" w:hAnsi="宋体" w:eastAsia="宋体" w:cs="宋体"/>
          <w:sz w:val="24"/>
          <w:szCs w:val="24"/>
        </w:rPr>
        <w:t>要求</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应用架构的 设 计关系到对多种系统质量属性的满足，应用系统的架构满足以下要求：</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多层的应用架构；</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基于组件的 设 计，用户可以根据需要按角色组合和配置组件</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具有用户可以管理工作流管理功能</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具有用户可以配置的规则引擎</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具有抽象的底层数据模型</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具有事件/消息响应机制</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系统 设 计以EMR为核心。</w:t>
      </w:r>
    </w:p>
    <w:p>
      <w:pPr>
        <w:pStyle w:val="6"/>
        <w:keepNext w:val="0"/>
        <w:keepLines w:val="0"/>
        <w:widowControl/>
        <w:suppressLineNumbers w:val="0"/>
        <w:spacing w:before="0" w:beforeAutospacing="0" w:after="0" w:afterAutospacing="0" w:line="405" w:lineRule="atLeast"/>
        <w:ind w:left="0" w:firstLine="480"/>
      </w:pPr>
      <w:r>
        <w:rPr>
          <w:rFonts w:hint="eastAsia" w:ascii="宋体" w:hAnsi="宋体" w:eastAsia="宋体" w:cs="宋体"/>
          <w:sz w:val="24"/>
          <w:szCs w:val="24"/>
        </w:rPr>
        <w:t>具有良好的安全机制完成用户的认证、授权和数据保密。</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Style w:val="8"/>
          <w:rFonts w:hint="eastAsia" w:ascii="宋体" w:hAnsi="宋体" w:eastAsia="宋体" w:cs="宋体"/>
          <w:sz w:val="24"/>
          <w:szCs w:val="24"/>
        </w:rPr>
        <w:t>备注：本项目1-1</w:t>
      </w:r>
      <w:r>
        <w:rPr>
          <w:rStyle w:val="8"/>
          <w:rFonts w:hint="eastAsia" w:ascii="宋体" w:hAnsi="宋体" w:eastAsia="宋体" w:cs="宋体"/>
        </w:rPr>
        <w:t>计算机软件为核心产品。</w:t>
      </w:r>
    </w:p>
    <w:p>
      <w:pPr>
        <w:pStyle w:val="6"/>
        <w:keepNext w:val="0"/>
        <w:keepLines w:val="0"/>
        <w:widowControl/>
        <w:suppressLineNumbers w:val="0"/>
        <w:spacing w:before="0" w:beforeAutospacing="0" w:after="0" w:afterAutospacing="0" w:line="405" w:lineRule="atLeast"/>
        <w:ind w:left="0" w:firstLine="480"/>
      </w:pPr>
    </w:p>
    <w:p>
      <w:pPr>
        <w:pStyle w:val="6"/>
        <w:keepNext w:val="0"/>
        <w:keepLines w:val="0"/>
        <w:widowControl/>
        <w:suppressLineNumbers w:val="0"/>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8"/>
          <w:rFonts w:hint="eastAsia" w:ascii="宋体" w:hAnsi="宋体" w:eastAsia="宋体" w:cs="宋体"/>
          <w:spacing w:val="0"/>
          <w:sz w:val="24"/>
          <w:szCs w:val="24"/>
        </w:rPr>
        <w:t>（以“★”标示的内容为不允许负偏离的实质性要求）</w:t>
      </w:r>
    </w:p>
    <w:p>
      <w:pPr>
        <w:pStyle w:val="6"/>
        <w:keepNext w:val="0"/>
        <w:keepLines w:val="0"/>
        <w:widowControl/>
        <w:suppressLineNumbers w:val="0"/>
        <w:spacing w:before="0" w:beforeAutospacing="0" w:after="150" w:afterAutospacing="0"/>
      </w:pPr>
      <w:r>
        <w:rPr>
          <w:rStyle w:val="8"/>
          <w:rFonts w:hint="eastAsia" w:ascii="宋体" w:hAnsi="宋体" w:eastAsia="宋体" w:cs="宋体"/>
          <w:sz w:val="24"/>
          <w:szCs w:val="24"/>
        </w:rPr>
        <w:t>1、计算机软件 </w:t>
      </w:r>
    </w:p>
    <w:p>
      <w:pPr>
        <w:pStyle w:val="3"/>
        <w:keepNext w:val="0"/>
        <w:keepLines w:val="0"/>
        <w:widowControl/>
        <w:suppressLineNumbers w:val="0"/>
        <w:spacing w:before="300" w:beforeAutospacing="0" w:after="150" w:afterAutospacing="0"/>
      </w:pPr>
      <w:r>
        <w:rPr>
          <w:rFonts w:hint="eastAsia" w:ascii="宋体" w:hAnsi="宋体" w:eastAsia="宋体" w:cs="宋体"/>
          <w:sz w:val="24"/>
          <w:szCs w:val="24"/>
        </w:rPr>
        <w:t>1.1 HIS</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1.1.1 一卡通管理系统</w:t>
      </w:r>
    </w:p>
    <w:p>
      <w:pPr>
        <w:pStyle w:val="6"/>
        <w:keepNext w:val="0"/>
        <w:keepLines w:val="0"/>
        <w:widowControl/>
        <w:suppressLineNumbers w:val="0"/>
        <w:spacing w:before="0" w:beforeAutospacing="0" w:after="150" w:afterAutospacing="0"/>
        <w:ind w:left="0" w:firstLine="480"/>
      </w:pPr>
      <w:r>
        <w:rPr>
          <w:rFonts w:hint="eastAsia" w:ascii="宋体" w:hAnsi="宋体" w:eastAsia="宋体" w:cs="宋体"/>
          <w:sz w:val="24"/>
          <w:szCs w:val="24"/>
        </w:rPr>
        <w:t>一卡通的账户管理在门诊（住院）系统内实现，主要应包括账户建档、账户修改、账户挂失、账户取消挂失、账户缴款管理、账户退款管理、缴退款发票重打、账户日终结账、账户发票合并打印、账户合并发票作废等共功能</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1.1.2 门急诊挂号划价收费系统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系统应根据医生的排班情况对病人预约挂号和现场挂号，同时也提供退号、换号、病人信息修改等功能，使挂号员能够方便快捷地完成挂号操作。并提供准确的挂号日报与挂号统计报表。系统应支持IC卡，磁卡，帐户等支付方式，加快挂号的速度，并同时为病人的后续就诊和综合统计提供基础数据。根据调入医生站传送的各种收费单据，也可对收费项目和药品进行划价，并按照相关政策计算各种病人的费用结算信息，系统也提供退费，发票作废重打等功能，从而使收费员能更方便快捷地完成门诊收费结算工作。系统功能应包括：</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病人基本信息登记</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对病人的基本信息进行采集登记，包括：门诊病人必需的基本信息，医疗保险人员的参保信息。</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挂号处理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建立门诊病人档案，处理门诊病人挂号、退号、转科、预约挂号及操作员挂号日报表、支持就诊卡、银行卡等多种操作。</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收费结算处理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收费划价单据预保存、收费结算、发票作废处理、病人退费处理、操作员收费日报表、门诊收费日报表等功能。支持一个医生对应多个科室、支持根据门诊号、就诊号或者就诊卡号自动从医生站调入处方，支持同一界面录入中药方、成药方、草药方、医技项目，处方录入支持套餐，皮试提示等功能，一次结算支持现金、支票、银行卡、IC卡、预交金等多种收费方式。</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查询</w:t>
      </w:r>
    </w:p>
    <w:p>
      <w:pPr>
        <w:pStyle w:val="6"/>
        <w:keepNext w:val="0"/>
        <w:keepLines w:val="0"/>
        <w:widowControl/>
        <w:suppressLineNumbers w:val="0"/>
        <w:spacing w:before="0" w:beforeAutospacing="0" w:after="150" w:afterAutospacing="0" w:line="300" w:lineRule="atLeast"/>
        <w:ind w:left="0" w:firstLine="345"/>
      </w:pPr>
      <w:r>
        <w:rPr>
          <w:rFonts w:hint="eastAsia" w:ascii="宋体" w:hAnsi="宋体" w:eastAsia="宋体" w:cs="宋体"/>
          <w:sz w:val="24"/>
          <w:szCs w:val="24"/>
        </w:rPr>
        <w:t>提供挂号信息查询、收费发票查询、帐户信息查询等功能。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统计报表</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提供性质费用汇总表、单位费用汇总表、医生挂号统计表、科室医生核算表、帐户卡发放统计报表等报表。</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系统维护</w:t>
      </w:r>
    </w:p>
    <w:p>
      <w:pPr>
        <w:pStyle w:val="6"/>
        <w:keepNext w:val="0"/>
        <w:keepLines w:val="0"/>
        <w:widowControl/>
        <w:suppressLineNumbers w:val="0"/>
        <w:spacing w:before="0" w:beforeAutospacing="0" w:after="150" w:afterAutospacing="0" w:line="300" w:lineRule="atLeast"/>
        <w:ind w:left="0" w:firstLine="360"/>
      </w:pPr>
      <w:r>
        <w:rPr>
          <w:rFonts w:hint="eastAsia" w:ascii="宋体" w:hAnsi="宋体" w:eastAsia="宋体" w:cs="宋体"/>
          <w:sz w:val="24"/>
          <w:szCs w:val="24"/>
        </w:rPr>
        <w:t>对挂号科室、科室排班、医师排班、发药药房、票据号码（门诊号、处方号、发票号）、常用地址、常用单位、病人证号报表格式、医生科室对照等进行维护管理。</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1.1.3 门诊西药房管理系统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门诊西药房系统是对门诊处方发发药处理、对药品价格划价，以及库房药品的入库和出库、药品数量的盘点、药房药品库存及维护药品的基本信息和药品使用权限。系统主要功能应包括：</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发药处理</w:t>
      </w:r>
    </w:p>
    <w:p>
      <w:pPr>
        <w:pStyle w:val="6"/>
        <w:keepNext w:val="0"/>
        <w:keepLines w:val="0"/>
        <w:widowControl/>
        <w:suppressLineNumbers w:val="0"/>
        <w:spacing w:before="0" w:beforeAutospacing="0" w:after="150" w:afterAutospacing="0" w:line="300" w:lineRule="atLeast"/>
        <w:ind w:left="0" w:firstLine="360"/>
      </w:pPr>
      <w:r>
        <w:rPr>
          <w:rFonts w:hint="eastAsia" w:ascii="宋体" w:hAnsi="宋体" w:eastAsia="宋体" w:cs="宋体"/>
          <w:sz w:val="24"/>
          <w:szCs w:val="24"/>
        </w:rPr>
        <w:t>提供处方审核、门诊窗口发药、窗口取消发药、处方划价、退药处理等功能。发药方式可分为配药模式和直接发药式。支持处方发药窗口转移。</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药品入库</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提供门诊西药房向药库申领药品、其它方式入库等功能。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药品出库</w:t>
      </w:r>
    </w:p>
    <w:p>
      <w:pPr>
        <w:pStyle w:val="6"/>
        <w:keepNext w:val="0"/>
        <w:keepLines w:val="0"/>
        <w:widowControl/>
        <w:suppressLineNumbers w:val="0"/>
        <w:spacing w:before="0" w:beforeAutospacing="0" w:after="150" w:afterAutospacing="0" w:line="300" w:lineRule="atLeast"/>
        <w:ind w:left="0" w:firstLine="360"/>
      </w:pPr>
      <w:r>
        <w:rPr>
          <w:rFonts w:hint="eastAsia" w:ascii="宋体" w:hAnsi="宋体" w:eastAsia="宋体" w:cs="宋体"/>
          <w:sz w:val="24"/>
          <w:szCs w:val="24"/>
        </w:rPr>
        <w:t>提供门诊西药房其它方式的出库处理。</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调拨处理</w:t>
      </w:r>
    </w:p>
    <w:p>
      <w:pPr>
        <w:pStyle w:val="6"/>
        <w:keepNext w:val="0"/>
        <w:keepLines w:val="0"/>
        <w:widowControl/>
        <w:suppressLineNumbers w:val="0"/>
        <w:spacing w:before="0" w:beforeAutospacing="0" w:after="150" w:afterAutospacing="0" w:line="300" w:lineRule="atLeast"/>
        <w:ind w:left="0" w:firstLine="360"/>
      </w:pPr>
      <w:r>
        <w:rPr>
          <w:rFonts w:hint="eastAsia" w:ascii="宋体" w:hAnsi="宋体" w:eastAsia="宋体" w:cs="宋体"/>
          <w:sz w:val="24"/>
          <w:szCs w:val="24"/>
        </w:rPr>
        <w:t>提供门诊西药房间的调拨申请、调拨退药、调拨出库处理等功能。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调拨退药</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提供病区药房向调拨目标药房进行退药的功能。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盘点处理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完成门诊西药房库存的盘点处理。</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月结处理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完成门诊西药房的月结处理。</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特殊药品日报</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提供贵重、麻醉、毒等特殊药品的药房日报统计功能。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药房汇总月报</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统计查询门诊药房药品各种入出库方式下的入出库金额。</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发药统计</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统计各个门诊科室的发药、退药情况。</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统计查询</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提供门诊西药房库存查询、药品最新价格查询、调价历史查询、高/低储报警、失效报警、药房账册查询、药房汇总月报表等功能。</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1.1.4 中药房管理系统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门诊中药房系统是对门诊处方发发药处理、对药品价格划价，以及库房药品的入库和出库、药品数量的盘点、药房药品库存及维护药品的基本信息和药品使用权限。系统主要功能应包括：</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发药处理</w:t>
      </w:r>
    </w:p>
    <w:p>
      <w:pPr>
        <w:pStyle w:val="6"/>
        <w:keepNext w:val="0"/>
        <w:keepLines w:val="0"/>
        <w:widowControl/>
        <w:suppressLineNumbers w:val="0"/>
        <w:spacing w:before="0" w:beforeAutospacing="0" w:after="150" w:afterAutospacing="0" w:line="300" w:lineRule="atLeast"/>
        <w:ind w:left="0" w:firstLine="360"/>
      </w:pPr>
      <w:r>
        <w:rPr>
          <w:rFonts w:hint="eastAsia" w:ascii="宋体" w:hAnsi="宋体" w:eastAsia="宋体" w:cs="宋体"/>
          <w:sz w:val="24"/>
          <w:szCs w:val="24"/>
        </w:rPr>
        <w:t>提供处方审核、门诊窗口发药、窗口取消发药、处方划价、退药处理等功能。发药方式可分为配药模式和直接发药式。支持处方发药窗口转移。</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药品入库</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提供门诊中药房向药库申领药品、其它方式入库等功能。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药品出库</w:t>
      </w:r>
    </w:p>
    <w:p>
      <w:pPr>
        <w:pStyle w:val="6"/>
        <w:keepNext w:val="0"/>
        <w:keepLines w:val="0"/>
        <w:widowControl/>
        <w:suppressLineNumbers w:val="0"/>
        <w:spacing w:before="0" w:beforeAutospacing="0" w:after="150" w:afterAutospacing="0" w:line="300" w:lineRule="atLeast"/>
        <w:ind w:left="0" w:firstLine="360"/>
      </w:pPr>
      <w:r>
        <w:rPr>
          <w:rFonts w:hint="eastAsia" w:ascii="宋体" w:hAnsi="宋体" w:eastAsia="宋体" w:cs="宋体"/>
          <w:sz w:val="24"/>
          <w:szCs w:val="24"/>
        </w:rPr>
        <w:t>提供门诊中药房其它方式的出库处理。</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调拨处理</w:t>
      </w:r>
    </w:p>
    <w:p>
      <w:pPr>
        <w:pStyle w:val="6"/>
        <w:keepNext w:val="0"/>
        <w:keepLines w:val="0"/>
        <w:widowControl/>
        <w:suppressLineNumbers w:val="0"/>
        <w:spacing w:before="0" w:beforeAutospacing="0" w:after="150" w:afterAutospacing="0" w:line="300" w:lineRule="atLeast"/>
        <w:ind w:left="0" w:firstLine="360"/>
      </w:pPr>
      <w:r>
        <w:rPr>
          <w:rFonts w:hint="eastAsia" w:ascii="宋体" w:hAnsi="宋体" w:eastAsia="宋体" w:cs="宋体"/>
          <w:sz w:val="24"/>
          <w:szCs w:val="24"/>
        </w:rPr>
        <w:t>提供门诊中药房间的调拨申请、调拨退药、调拨出库处理等功能。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调拨退药</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提供病区药房向调拨目标药房进行退药的功能。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盘点处理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完成门诊中药房库存的盘点处理。</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月结处理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完成门诊中药房的月结处理。</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特殊药品日报</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提供贵重、麻醉、毒等特殊药品的药房日报统计功能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药房汇总月报</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统计查询门诊药房药品各种入出库方式下的入出库金额</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发药统计</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统计各个门诊科室的发药、退药情况</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统计查询</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提供门诊中药房库存查询、药品最新价格查询、调价历史查询、高/低储报警、失效报警、药房账册查询、药房汇总月报表等功能</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1.1.5 注射室管理系统</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注射管理系统主要服务于医院注射室，注射室人员对皮试病人进行皮试处理；同时应与医生站和收费系统及药房有相应的接口。</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1.1.6 病区护士站信息系统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本次病区护士站系统的建设工作应根据以病人为中心的宗旨，为病区护士提供了在医护工作中对病人一系列的业务操作。包括床位管理，医嘱的录入，执行与打印，治疗单与各种卡片的打印，体温单的绘制，书写护理记录，查看结果报告，查询住院费用等等，减轻护士大量繁琐的事务性工作，提高医院的医护质量。病区护士站系统主要功能应包括：</w:t>
      </w:r>
    </w:p>
    <w:tbl>
      <w:tblPr>
        <w:tblW w:w="860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020"/>
        <w:gridCol w:w="65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97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功能模块</w:t>
            </w:r>
          </w:p>
        </w:tc>
        <w:tc>
          <w:tcPr>
            <w:tcW w:w="6544"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97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床位管理</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对病人的床位情况进行管理，主要包括为病人分配床位，进行包床、转床、换床、借床、转科等操作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97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医嘱复核管理</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对医生下达的医嘱进行复核。医嘱复核支持按病人复核和批量复核。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97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医嘱提交和执行</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 </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药品医嘱提交分按病区提交和按病人提交两种方式，也可按全部医嘱、长期医嘱、临时医嘱、普通医嘱、急诊医嘱、出院带药等医嘱分类进行提交。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97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退费退药管理</w:t>
            </w:r>
          </w:p>
        </w:tc>
        <w:tc>
          <w:tcPr>
            <w:tcW w:w="6544"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退药申请管理；退费管理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97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医嘱卡片</w:t>
            </w:r>
          </w:p>
        </w:tc>
        <w:tc>
          <w:tcPr>
            <w:tcW w:w="6544"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自动生成不同类型的医嘱卡片，包括护理卡、口服卡、注射卡、静滴卡、饮食卡、临时医嘱卡，输液巡视卡等卡片。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260" w:hRule="atLeast"/>
          <w:tblCellSpacing w:w="15" w:type="dxa"/>
        </w:trPr>
        <w:tc>
          <w:tcPr>
            <w:tcW w:w="197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病区管理</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对病区日常事务进行管理，主要包括护士排班、催款处理、费用清单查询等功能。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97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手术管理</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手术管理包括病人手术申请、申请单管理、手术安排查询、综合信息查询四个功能。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197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查询功能</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 </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查询病区各项信息，如在院、出院病人信息，发药退药情况、病区日报表、医院未执行单查询、医院病区收入核算、病区饮食医嘱统计、病区收入核算、护士工作评估等。</w:t>
            </w:r>
          </w:p>
        </w:tc>
      </w:tr>
    </w:tbl>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1.1.7 住院药房管理系统</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住院药房管理系统是对病区医嘱发发药处理以及库房药品的入库和出库、药品数量的盘点、药房药品库存及维护药品的基本信息和药品使用权限。系统主要功能应包括：</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发药处理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提供住院发药、摆药（支持包药机发药），急诊用药，出院带药、取药，病区退药等基本退发药功能。提供住院医嘱审核、病区实物冲抵功能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药品入库</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提供住院中西药房向药库申领药品、其它方式入库等功能。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药品出库</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提供病区药房其它方式的出库功能，如盘亏、报损等。</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调拨处理</w:t>
      </w:r>
    </w:p>
    <w:p>
      <w:pPr>
        <w:pStyle w:val="6"/>
        <w:keepNext w:val="0"/>
        <w:keepLines w:val="0"/>
        <w:widowControl/>
        <w:suppressLineNumbers w:val="0"/>
        <w:spacing w:before="0" w:beforeAutospacing="0" w:after="150" w:afterAutospacing="0" w:line="300" w:lineRule="atLeast"/>
        <w:ind w:left="0" w:firstLine="360"/>
      </w:pPr>
      <w:r>
        <w:rPr>
          <w:rFonts w:hint="eastAsia" w:ascii="宋体" w:hAnsi="宋体" w:eastAsia="宋体" w:cs="宋体"/>
          <w:sz w:val="24"/>
          <w:szCs w:val="24"/>
        </w:rPr>
        <w:t>提供住院中西药房间的调拨申请、调拨退药、调拨出库处理等功能。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调拨退药</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提供住院药房向调拨目标药房进行退药的功能。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盘点处理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完成住院中西药房库存的盘点处理。</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月结处理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完成住院中西药房的月结处理。</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特殊药品日报</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提供贵重、麻醉、毒等特殊药品的药房日报统计功能。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药房汇总月报</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统计查询住院药房药品各种入出库方式下的入出库金额。</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发药统计</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统计各个病区的发药、退药情况。</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统计查询</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提供病区发药统计、病区发药查询、病区退药查询、历史发药查询、病区药房库存查询、药品最新价格查询、调价历史查询、高/低储报警、失效报警、药房账册查询、药房汇总月报表等功能。</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1.1.8 住院结算管理系统</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住院结算管理系统是医院的重要组成部分，应实现整个住院部的人、财、物各种信息的顺畅流通和高度共享。住院管理系统可以细分为住院登记、住院收费、出院结算、床位管理。提供了对住院患者入院登记和分诊及押金管理、费用结算等功能。入院患者首先在住院处登记，交付押金，住院处将患者信息录入至住院系统，收取押金，并根据患者病情分配至住院科室。最后当患者出院时，住院处提供出院结算，并能够进行费用的核查和中结的功能。系统主要功能应包含：</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入院登记</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提供一般入院登记、预约调入登记、根据病人档案调入病人等入院方式 ，支持门诊病人、新病人、老病人调入登记。入院登记时允许分配床位和预缴款。入院登记信息包含：患者基本信息登记、入住科室、病区、入院日期、入院情况、预交款信息等。</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预约登记</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系统应提供预约登记功能，对于不及时住院或者没有闲空床位的患者，允许提前预约入院，预约登记信息包含：患者基本信息、预约科室、预约日期、入院日期等。</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档案管理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提供新建患者档案、查询档案、修改档案、删除档案功能，住院档案和门诊档案需统一管理，同一个病人只允许有一份档案。</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病人管理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提供对全院在院病人的统一管理功能，包括病人性质转换、已登记病人注销、首页修改/查询、病人帐卡查询、费用修正、入院日期变更等功能。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床位管理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提供对全院床位维护、分配功能，包括床位设置、分配床位、转床转科、包床处理、退床处理、床位使用率的统计以及房间设置等功能。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缴款管理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提供缴款处理和缴款查询两块功能、支持现金、发票、刷卡等多种缴款方式。</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费用记帐</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提供按病人记帐、按项目记帐、批量记帐、退费记帐及记帐查询功能，主要对于漏计费的费用进行记账或者对于多记的费用进行退费处理。</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催款管理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提供欠费清单和催款清单，对各病区或各科室已欠费的病人进行查询、对每一欠费病人的催款单进行打印。</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帐户冻结管理和解冻管理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帐户冻结管理按照系统设置的欠费标准自动冻结欠费病人帐户。解冻管理对某些特殊病人进行解除帐户冻结管理，允许欠费诊疗。</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结算管理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中出院结算、中途结算、合并结算、退费结算、出院预结、出院终结、发票作废、取消预结，住院结算时允许调整收费精度，可以精确到元，角，分，默认为分。一次结算支持现金、支票、POS机等多种付款方式。</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退费结算</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提供已出院结算开票的病人进行已记费部分的退费处理功能，也可对出院结算的病人进行补记费处理。</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结账报表</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包括日终结帐、日结汇总、月终结帐，取消日终结帐、取消日结汇总、取消月终结帐等功能。日终结账是每个操作员对本人至上次结账后收取的预缴金、结算发票进行统计，允许多日的业务进行合并日结；日结汇总是由一个操作员对所有操作员的个人日终结账进行汇总。取消结账是对结账的反向操作。</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住院报表</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在院资金对比表、结帐汇总统计表、收入汇总统计表、医疗保险统计表、性质费用汇总表、单位费用汇总表、在院病人汇总表、出院病人汇总表、欠费病人汇总表、月结病人汇总表、住院收入核算表、医技收入核算表。</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信息查询</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提供在院病人费用查询、在院费用清单查询、历史结算查询、发票合并打印、票据使用查询、住院病人查询、预约病人查询、病人档案查询。</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在院费用清单查询：将病人的所有费用清单进行汇总处理并打印。</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发票合并打印：将多个病人因特殊情况（例如车祸、食物中毒等事件发生）而需要将发票合并打印处理。</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1.1.9 危急值管理系统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危急值管理是仪器测试过程出现了异常值，提醒检验科医生尽快复查发布并；检验科医生审核标本时，系统自动判断危急值，遇危急标本系统自动提醒检验科医生，确需核发该报告时，检验科医生输入工号和密码后，系统应自动将标本结果危急情况发送到标本采集的病区；病区工作站收到检验报告危急值信息后，提醒该病区（使病区电脑一直处于锁屏状态，病区电脑配备小喇叭，小喇叭报警），直到病区医生查看该危机情况，并通过输入工号及密码确认；由检验系统提供危急值通报情况，可查看接收医生、接收时间等信息，进行查询、统计分析。危急值分类按产生的时间分：通讯级危急值、审核危急值通讯级：仪器传输过来时，根据危急值设置自动报警，可根据系统参数设置是否播报审核：审核报告的时候，根据危急值设置自动报警，可根据系统参数设置是否播报，按标本类别分：门诊、住院、体检、其他。</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危急值发布：检验结果出现危急值时，Lis系统自动报警提示检验者进一步识别和处理。确认无误后提交给临床。</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危急值需要按需发布：针对疾病类别、科室，设置是否进行二次发布。同一病人、同一项目已发布过则不再发布。</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对于已发布的危急值，科室未及时处理（超过5分钟）的危急值，反馈给检验科进行人工处理，输入通知方式及通知人员。</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1.1.10 医技科室管理系统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医技科室管理系统是辅助医院放射科、检验室、理疗科等非临床科室对门诊处置和病区医嘱进行执行记费操作。以及对医院设备使用情况、使用效益、技师工作量进行统计，辅助医院管理决策。系统主要应分为二大块内容，分别是病人医技项目执行、记帐和结果报告单的填写和医技物品药品的三级库房管理，主要功能应包括：</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医技业务处理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对门诊和住院两种类型的检查、化验申请单进行接收，并对相应的医技业务分别进行执行记费，医技执行记费后支持取消。医技执行中使用到的耗材会直接扣减物资库存。</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预约申请</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支持门诊、住院医技预约申请，门诊医技预约后在划价收费处能够调入。</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医技用药申领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医技使用药品的申领。</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编辑结果报告</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填写病人的医技结果报告。</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医技批量执行</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支持门诊、住院医技业务多项同时执行。</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科室经济核算</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按部门查询经济收入情况。</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查询结果报告</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根据用户设置的条件查询病人的医技结果报告。</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检索科室档案</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根据住院或门诊号码查询病人结果报告。</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住院医技清单</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查询某一住院病人的医技情况。</w:t>
      </w:r>
    </w:p>
    <w:p>
      <w:pPr>
        <w:pStyle w:val="6"/>
        <w:keepNext w:val="0"/>
        <w:keepLines w:val="0"/>
        <w:widowControl/>
        <w:suppressLineNumbers w:val="0"/>
        <w:spacing w:before="0" w:beforeAutospacing="0" w:after="150" w:afterAutospacing="0"/>
      </w:pPr>
      <w:r>
        <w:rPr>
          <w:rStyle w:val="8"/>
          <w:rFonts w:hint="eastAsia" w:ascii="宋体" w:hAnsi="宋体" w:eastAsia="宋体" w:cs="宋体"/>
          <w:sz w:val="24"/>
          <w:szCs w:val="24"/>
        </w:rPr>
        <w:t>信息查询</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提供医技清单，医技用药，结果报告，科室工作情况，设备效益时段、总和分析，诊断结果统计分析等查询功能。可按检查项目，申检医生，申检科室，执行医生等分别统计科室经济核算情况。</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1.1.11 手术麻醉计费信息系统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手术麻醉收费管理系统主要完成对手术病人的手术申请，手术安排，以及手术、麻醉过程中其它的相关信息和所发生的费用和消耗的物品进行管理。另外还应包含有对无菌信息的管理。</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手术申请</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由医生站提交手术申请，也可以由手麻系统补录手术申请，根据住院号码或者床号调出患者基本信息，手术申请包含：手术名  称、申请日期、申请科室、申请医师、手术名  称、手术医师、助手一、助手二、助手三、麻醉方法、麻醉医师、附加手术。</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手术安排</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将病区提交的手术申请进行统一安排或取消安排，手术安排包含:安排日期、手术日期、手术房间、手术台号、手术要求等。</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手术通知</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将已经安排的手术申请单通知到医生工作站和护士工作站。</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手术记录</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管理手术记录信息。包括手术名  称，开始时间，结束时间，手术医生，助手一，助手二，助手三，洗手护士，巡回护士，输血血型，输血量，术前诊断，术后诊断,切口等级，愈合类别，附加手术；并可进行器械清点。</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会诊记录</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管理会诊记录信息，对会诊结果进行记录。</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麻醉记录</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管理麻醉记录信息，包括麻醉方法，麻醉医生，巡回护士，麻醉效果，麻醉评分，记录事项。</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谈话记录</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管理麻醉谈话记录信息，包括麻醉方法，麻醉医生，麻醉日期，谈话内容，家属签字，家属与病人关系。</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术后医嘱</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管理手术后的病人医嘱 ，并可提交到药房，从药房拿药。</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手术记费</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对手术过程中发生的费用进行记费或退费，并传至病人帐卡上 。</w:t>
      </w:r>
    </w:p>
    <w:p>
      <w:pPr>
        <w:pStyle w:val="6"/>
        <w:keepNext w:val="0"/>
        <w:keepLines w:val="0"/>
        <w:widowControl/>
        <w:suppressLineNumbers w:val="0"/>
        <w:spacing w:before="0" w:beforeAutospacing="0" w:after="120" w:afterAutospacing="0" w:line="300" w:lineRule="atLeast"/>
      </w:pPr>
      <w:r>
        <w:rPr>
          <w:rStyle w:val="8"/>
          <w:rFonts w:hint="eastAsia" w:ascii="宋体" w:hAnsi="宋体" w:eastAsia="宋体" w:cs="宋体"/>
          <w:sz w:val="24"/>
          <w:szCs w:val="24"/>
        </w:rPr>
        <w:t>退药与退费</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对于手麻系统已发药的药品医嘱，若要进行退药，需先进行退药申请并提交到发药药房；对于本系统记费的项目，可直接进行退费处理。</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无菌管理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包括紫外线消毒记录、手指无菌培养、物品无菌检查、空气无菌检查、手术中空气无菌检查。</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库房管理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库房管理指手麻麻醉的三级库房，包括手术药品管理和手术物品管理。</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查询统计</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支持按住院号码，床号，姓名等多种方式查询手术信息、无菌消毒记录查。提供手术统计，麻醉统计，术后统计等多种统计报表。支持按科室、医生、护士等统计手术报表。</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系统维护</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设置用户及用户权限、手术科室设置、科室权限设置、手术科室切换、手术代码设置、手术登记设置、手术器械。</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1.1.12 管理员维护系统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管理员维护系统主要提供各类维护和管理工具，应包括信息维护，参数维护、日志监管等一系列辅助功能。</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1.1.13 ★HIS业务容灾系统</w:t>
      </w:r>
    </w:p>
    <w:tbl>
      <w:tblPr>
        <w:tblW w:w="847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561"/>
        <w:gridCol w:w="69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516" w:type="dxa"/>
            <w:tcBorders>
              <w:top w:val="nil"/>
              <w:left w:val="nil"/>
              <w:bottom w:val="nil"/>
              <w:right w:val="nil"/>
            </w:tcBorders>
            <w:shd w:val="clear" w:color="auto" w:fill="D9D9D9"/>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ind w:left="0" w:firstLine="240"/>
            </w:pPr>
            <w:r>
              <w:rPr>
                <w:rStyle w:val="8"/>
                <w:rFonts w:hint="eastAsia" w:ascii="宋体" w:hAnsi="宋体" w:eastAsia="宋体" w:cs="宋体"/>
                <w:sz w:val="24"/>
                <w:szCs w:val="24"/>
                <w:bdr w:val="none" w:color="auto" w:sz="0" w:space="0"/>
              </w:rPr>
              <w:t>指标项</w:t>
            </w:r>
          </w:p>
        </w:tc>
        <w:tc>
          <w:tcPr>
            <w:tcW w:w="6868" w:type="dxa"/>
            <w:tcBorders>
              <w:top w:val="nil"/>
              <w:left w:val="nil"/>
              <w:bottom w:val="nil"/>
              <w:right w:val="nil"/>
            </w:tcBorders>
            <w:shd w:val="clear" w:color="auto" w:fill="D9D9D9"/>
            <w:tcMar>
              <w:top w:w="75" w:type="dxa"/>
              <w:left w:w="120" w:type="dxa"/>
              <w:bottom w:w="75" w:type="dxa"/>
              <w:right w:w="75" w:type="dxa"/>
            </w:tcMar>
            <w:vAlign w:val="center"/>
          </w:tcPr>
          <w:p>
            <w:pPr>
              <w:pStyle w:val="6"/>
              <w:keepNext w:val="0"/>
              <w:keepLines w:val="0"/>
              <w:widowControl/>
              <w:suppressLineNumbers w:val="0"/>
              <w:spacing w:before="0" w:beforeAutospacing="0" w:after="150" w:afterAutospacing="0"/>
              <w:ind w:left="45"/>
              <w:jc w:val="center"/>
            </w:pPr>
            <w:r>
              <w:rPr>
                <w:rStyle w:val="8"/>
                <w:rFonts w:hint="eastAsia" w:ascii="宋体" w:hAnsi="宋体" w:eastAsia="宋体" w:cs="宋体"/>
                <w:sz w:val="24"/>
                <w:szCs w:val="24"/>
              </w:rPr>
              <w:t>参数要求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200" w:hRule="atLeast"/>
          <w:tblCellSpacing w:w="15" w:type="dxa"/>
        </w:trPr>
        <w:tc>
          <w:tcPr>
            <w:tcW w:w="151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基本要求</w:t>
            </w:r>
          </w:p>
        </w:tc>
        <w:tc>
          <w:tcPr>
            <w:tcW w:w="686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1、容灾系统软件支持MS SQL Server2008、ORACLE等主流数据库；</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2、本项目要求部署基于数据级的容灾环境。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130" w:hRule="atLeast"/>
          <w:tblCellSpacing w:w="15" w:type="dxa"/>
        </w:trPr>
        <w:tc>
          <w:tcPr>
            <w:tcW w:w="151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总体要求</w:t>
            </w:r>
          </w:p>
        </w:tc>
        <w:tc>
          <w:tcPr>
            <w:tcW w:w="686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1、支持windows操作系统平台，ORACLE、MSSQL2008 64bit数据库；</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2、实现HIS数据库的数据容灾和业务容灾功能</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3、容灾软件能够主点和备点（容灾点）之间实时和准实时的数据同步功能；</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4、容灾软件在数据初始化同步不能影响医院业务正常运行，即无需停机操作；</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5、支持数据库操作的DDL和DML语句：不管是什么数据类型、表的类型，任何DDL和DML语句都可以应用在备用数据库上；</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6、容灾点的数据数据库即时打开，可供查询和统计使用，随时验证容灾数据的可用性；</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7、支持HIS业务数据的不对称复制，即生产系统保留1年左右的数据，容灾系统保留所有的在线和历史数据；</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8、支持业务数据的回导功能，即将业务的历史数据回导至生产数据库系统；</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9、实现HIS系统业务的查询分离架构,正常情况，HIS日常事务和报表业务分布在业务服务器和容灾服务器上；当生产服务器发生故障后，可以通过应用程序的容灾连接，实现HIS容灾数据和业务的接管；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45" w:hRule="atLeast"/>
          <w:tblCellSpacing w:w="15" w:type="dxa"/>
        </w:trPr>
        <w:tc>
          <w:tcPr>
            <w:tcW w:w="151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实施要求</w:t>
            </w:r>
          </w:p>
        </w:tc>
        <w:tc>
          <w:tcPr>
            <w:tcW w:w="6868" w:type="dxa"/>
            <w:tcBorders>
              <w:top w:val="nil"/>
              <w:left w:val="nil"/>
              <w:bottom w:val="nil"/>
              <w:right w:val="nil"/>
            </w:tcBorders>
            <w:shd w:val="clear" w:color="auto" w:fill="FFFFFF"/>
            <w:tcMar>
              <w:top w:w="75" w:type="dxa"/>
              <w:left w:w="43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1、基于医院信息系统关键业务（HIS），现场部署业务容灾体系；</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2、投标人派遣的实施工程师需具备医院信息系统业务容灾系统的实施经验；</w:t>
            </w:r>
          </w:p>
        </w:tc>
      </w:tr>
    </w:tbl>
    <w:p>
      <w:pPr>
        <w:pStyle w:val="3"/>
        <w:keepNext w:val="0"/>
        <w:keepLines w:val="0"/>
        <w:widowControl/>
        <w:suppressLineNumbers w:val="0"/>
        <w:spacing w:before="300" w:beforeAutospacing="0" w:after="150" w:afterAutospacing="0"/>
      </w:pPr>
      <w:r>
        <w:rPr>
          <w:rFonts w:hint="eastAsia" w:ascii="宋体" w:hAnsi="宋体" w:eastAsia="宋体" w:cs="宋体"/>
          <w:sz w:val="24"/>
          <w:szCs w:val="24"/>
        </w:rPr>
        <w:t>1.2 EMR</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1.2.1 门诊医生工作站系统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系统不仅应满足服务于门诊医生日常诊疗工作的需求，更应进一步的提高了门诊医生的工作效率。应具有合理的流程设 计，能与药房系统、医技检查系统的无缝连接，对医生处方用药权限和诊疗权限的监控，使得门诊诊疗业务更加规范。经本次升级完善后的门诊医生站系统主要功能包括：诊断录入、开具处方、处置，检查检验申请、就诊记录查阅和查询统计等。</w:t>
      </w:r>
    </w:p>
    <w:tbl>
      <w:tblPr>
        <w:tblW w:w="8518"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790"/>
        <w:gridCol w:w="2413"/>
        <w:gridCol w:w="43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4158" w:type="dxa"/>
            <w:gridSpan w:val="2"/>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功能模块</w:t>
            </w:r>
          </w:p>
        </w:tc>
        <w:tc>
          <w:tcPr>
            <w:tcW w:w="427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745"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诊疗业务</w:t>
            </w: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选择病人、暂挂、结束</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支持选新挂号病人，病人暂停就诊或继续进行就诊，结束某病人的就诊历程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门诊处方</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根据病人的病情和诊断给病人开中西药方，并且对用药权限和诊疗权限加以控制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检验、检查申请</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检验、检查单申请单管理（申请、查看报告）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门诊处置</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开具一般治疗项目（含费用）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门诊诊断</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门诊诊断的录入（中西医诊断）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既往病史</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提供既往门诊和住院的病史查阅功能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诊间转科</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实现门诊同级科室之间转科，如挂错号时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区域协同</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与全科医生工作站和电子健康档案系统的接口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住院预约</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住院预约登记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复诊预约</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复诊预约登记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45"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诊疗助手</w:t>
            </w: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常用药品</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维护个人、科室和公共的常用药品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常用诊疗</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维护个人、科室和公共的常用诊疗项目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药品字典</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查看药品字典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诊疗字典</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查看诊疗项目字典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诊断字典</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查看诊断字典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40" w:hRule="atLeast"/>
          <w:tblCellSpacing w:w="15" w:type="dxa"/>
        </w:trPr>
        <w:tc>
          <w:tcPr>
            <w:tcW w:w="1745"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综合查询业务</w:t>
            </w: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门诊就诊记录查询</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病人就诊记录查询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门诊就诊费用统计</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病人就诊费用统计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门诊处方收费统计</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按科室统计处方收费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门诊诊断统计</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按科室统计诊断下达次数及病人数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手术记录查询</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手术记录查询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5"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复诊预约查询</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复诊病人预约记录查询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1745"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3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住院预约查询</w:t>
            </w:r>
          </w:p>
        </w:tc>
        <w:tc>
          <w:tcPr>
            <w:tcW w:w="427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住院病人预约记录查询</w:t>
            </w:r>
          </w:p>
        </w:tc>
      </w:tr>
    </w:tbl>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55" w:beforeAutospacing="0" w:after="255" w:afterAutospacing="0" w:line="486" w:lineRule="atLeast"/>
        <w:jc w:val="both"/>
      </w:pPr>
      <w:r>
        <w:rPr>
          <w:rStyle w:val="8"/>
          <w:rFonts w:hint="eastAsia" w:ascii="宋体" w:hAnsi="宋体" w:eastAsia="宋体" w:cs="宋体"/>
          <w:b/>
          <w:sz w:val="24"/>
          <w:szCs w:val="24"/>
          <w:bdr w:val="none" w:color="auto" w:sz="0" w:space="0"/>
        </w:rPr>
        <w:t>1.2.2 门诊电子病历系统</w:t>
      </w:r>
    </w:p>
    <w:p>
      <w:pPr>
        <w:pStyle w:val="6"/>
        <w:keepNext w:val="0"/>
        <w:keepLines w:val="0"/>
        <w:widowControl/>
        <w:suppressLineNumbers w:val="0"/>
        <w:spacing w:line="360" w:lineRule="atLeast"/>
        <w:ind w:left="0" w:firstLine="480"/>
      </w:pPr>
      <w:r>
        <w:rPr>
          <w:rFonts w:hint="eastAsia" w:ascii="宋体" w:hAnsi="宋体" w:eastAsia="宋体" w:cs="宋体"/>
          <w:sz w:val="24"/>
          <w:szCs w:val="24"/>
        </w:rPr>
        <w:t>门诊电子病历系统应嵌入门诊医生站中，并能实现与其它业务信息系统之间的数据交换，组件化 设 计。系统须支持门诊医生书写门诊病历业务，采取全结构化的录入方式，支持多种多样的个人或者科室模版，支持自定义符号，支持导入图片编辑，支持数据的相互引用，支持查看健康档案等，具体要求如下：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420"/>
        <w:jc w:val="both"/>
      </w:pPr>
      <w:r>
        <w:rPr>
          <w:rFonts w:ascii="Wingdings" w:hAnsi="Wingdings" w:cs="Wingdings"/>
          <w:sz w:val="24"/>
          <w:szCs w:val="24"/>
          <w:bdr w:val="none" w:color="auto" w:sz="0" w:space="0"/>
        </w:rPr>
        <w:t>l </w:t>
      </w:r>
      <w:r>
        <w:rPr>
          <w:rFonts w:hint="eastAsia" w:ascii="宋体" w:hAnsi="宋体" w:eastAsia="宋体" w:cs="宋体"/>
          <w:sz w:val="24"/>
          <w:szCs w:val="24"/>
          <w:bdr w:val="none" w:color="auto" w:sz="0" w:space="0"/>
        </w:rPr>
        <w:t>门诊病历书写</w:t>
      </w:r>
    </w:p>
    <w:p>
      <w:pPr>
        <w:pStyle w:val="6"/>
        <w:keepNext w:val="0"/>
        <w:keepLines w:val="0"/>
        <w:widowControl/>
        <w:suppressLineNumbers w:val="0"/>
        <w:spacing w:line="360" w:lineRule="atLeast"/>
        <w:ind w:left="0" w:firstLine="480"/>
      </w:pPr>
      <w:r>
        <w:rPr>
          <w:rFonts w:hint="eastAsia" w:ascii="宋体" w:hAnsi="宋体" w:eastAsia="宋体" w:cs="宋体"/>
          <w:sz w:val="24"/>
          <w:szCs w:val="24"/>
        </w:rPr>
        <w:t>提供结构化和XML存储的门诊病历以及丰富的门诊电子病历模板，支持医生书写与打印门诊病历、用药等资料；支持诊断读取、检验报告读取、门诊模板编辑器，支持特殊符号，支持数据相互引用，支持处方、诊断的下达和自动导入；支持提供各种科室模版等。</w:t>
      </w:r>
    </w:p>
    <w:p>
      <w:pPr>
        <w:pStyle w:val="6"/>
        <w:keepNext w:val="0"/>
        <w:keepLines w:val="0"/>
        <w:widowControl/>
        <w:suppressLineNumbers w:val="0"/>
        <w:spacing w:line="360" w:lineRule="atLeast"/>
        <w:ind w:left="0" w:firstLine="480"/>
      </w:pPr>
      <w:r>
        <w:rPr>
          <w:rFonts w:hint="eastAsia" w:ascii="宋体" w:hAnsi="宋体" w:eastAsia="宋体" w:cs="宋体"/>
          <w:sz w:val="24"/>
          <w:szCs w:val="24"/>
        </w:rPr>
        <w:t>书写界面要求为WORD操作界面风格，全结构化书写，所见即所得。医生书写病历，可以直接采用点选方式录入，同时也具备WORD的基本操作功能，包括字体大小、字号、行间距、页边距、颜色，排版，撤消，复制等多种功能，系统支持结构化点选录入和自主研发的医学结构化输入法等多种录入方式，系统提供右键功能，直接操作各个功能，支持病人的数据引用，结构化复制、粘贴；插入特殊符号；支持自定义医学表达式并且插入操作；支持插入图片，并且可在图片上实现病灶标注和语言描述；通过导出模板，可以设置个人模板或常用语等功能，以提高医生工作效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420"/>
        <w:jc w:val="both"/>
      </w:pPr>
      <w:r>
        <w:rPr>
          <w:rFonts w:hint="default" w:ascii="Wingdings" w:hAnsi="Wingdings" w:cs="Wingdings"/>
          <w:sz w:val="24"/>
          <w:szCs w:val="24"/>
          <w:bdr w:val="none" w:color="auto" w:sz="0" w:space="0"/>
        </w:rPr>
        <w:t>l </w:t>
      </w:r>
      <w:r>
        <w:rPr>
          <w:rFonts w:hint="eastAsia" w:ascii="宋体" w:hAnsi="宋体" w:eastAsia="宋体" w:cs="宋体"/>
          <w:sz w:val="24"/>
          <w:szCs w:val="24"/>
          <w:bdr w:val="none" w:color="auto" w:sz="0" w:space="0"/>
        </w:rPr>
        <w:t>一键打印</w:t>
      </w:r>
    </w:p>
    <w:p>
      <w:pPr>
        <w:pStyle w:val="6"/>
        <w:keepNext w:val="0"/>
        <w:keepLines w:val="0"/>
        <w:widowControl/>
        <w:suppressLineNumbers w:val="0"/>
        <w:spacing w:line="360" w:lineRule="atLeast"/>
        <w:ind w:left="0" w:firstLine="480"/>
      </w:pPr>
      <w:r>
        <w:rPr>
          <w:rFonts w:hint="eastAsia" w:ascii="宋体" w:hAnsi="宋体" w:eastAsia="宋体" w:cs="宋体"/>
          <w:sz w:val="24"/>
          <w:szCs w:val="24"/>
        </w:rPr>
        <w:t>系统需提供门诊医生在诊疗结束时，打印病历的功能，支持一键打印。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420"/>
        <w:jc w:val="both"/>
      </w:pPr>
      <w:r>
        <w:rPr>
          <w:rFonts w:hint="default" w:ascii="Wingdings" w:hAnsi="Wingdings" w:cs="Wingdings"/>
          <w:sz w:val="24"/>
          <w:szCs w:val="24"/>
          <w:bdr w:val="none" w:color="auto" w:sz="0" w:space="0"/>
        </w:rPr>
        <w:t>l </w:t>
      </w:r>
      <w:r>
        <w:rPr>
          <w:rFonts w:hint="eastAsia" w:ascii="宋体" w:hAnsi="宋体" w:eastAsia="宋体" w:cs="宋体"/>
          <w:sz w:val="24"/>
          <w:szCs w:val="24"/>
          <w:bdr w:val="none" w:color="auto" w:sz="0" w:space="0"/>
        </w:rPr>
        <w:t>既往病史查阅</w:t>
      </w:r>
    </w:p>
    <w:p>
      <w:pPr>
        <w:pStyle w:val="6"/>
        <w:keepNext w:val="0"/>
        <w:keepLines w:val="0"/>
        <w:widowControl/>
        <w:suppressLineNumbers w:val="0"/>
        <w:spacing w:line="360" w:lineRule="atLeast"/>
        <w:ind w:left="0" w:firstLine="480"/>
      </w:pPr>
      <w:r>
        <w:rPr>
          <w:rFonts w:hint="eastAsia" w:ascii="宋体" w:hAnsi="宋体" w:eastAsia="宋体" w:cs="宋体"/>
          <w:sz w:val="24"/>
          <w:szCs w:val="24"/>
        </w:rPr>
        <w:t>支持查阅既往门诊病历资料、住院病历资料、既往诊断、既往检验、既往检查等。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420"/>
        <w:jc w:val="both"/>
      </w:pPr>
      <w:r>
        <w:rPr>
          <w:rFonts w:hint="default" w:ascii="Wingdings" w:hAnsi="Wingdings" w:cs="Wingdings"/>
          <w:sz w:val="24"/>
          <w:szCs w:val="24"/>
          <w:bdr w:val="none" w:color="auto" w:sz="0" w:space="0"/>
        </w:rPr>
        <w:t>l </w:t>
      </w:r>
      <w:r>
        <w:rPr>
          <w:rFonts w:hint="eastAsia" w:ascii="宋体" w:hAnsi="宋体" w:eastAsia="宋体" w:cs="宋体"/>
          <w:sz w:val="24"/>
          <w:szCs w:val="24"/>
          <w:bdr w:val="none" w:color="auto" w:sz="0" w:space="0"/>
        </w:rPr>
        <w:t>检查报告读取</w:t>
      </w:r>
    </w:p>
    <w:p>
      <w:pPr>
        <w:pStyle w:val="6"/>
        <w:keepNext w:val="0"/>
        <w:keepLines w:val="0"/>
        <w:widowControl/>
        <w:suppressLineNumbers w:val="0"/>
        <w:spacing w:line="360" w:lineRule="atLeast"/>
        <w:ind w:left="420"/>
      </w:pPr>
      <w:r>
        <w:rPr>
          <w:rFonts w:hint="eastAsia" w:ascii="宋体" w:hAnsi="宋体" w:eastAsia="宋体" w:cs="宋体"/>
          <w:sz w:val="24"/>
          <w:szCs w:val="24"/>
        </w:rPr>
        <w:t>提供在病历书写时，读取检查报告数据到病历文档中。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420"/>
        <w:jc w:val="both"/>
      </w:pPr>
      <w:r>
        <w:rPr>
          <w:rFonts w:hint="default" w:ascii="Wingdings" w:hAnsi="Wingdings" w:cs="Wingdings"/>
          <w:sz w:val="24"/>
          <w:szCs w:val="24"/>
          <w:bdr w:val="none" w:color="auto" w:sz="0" w:space="0"/>
        </w:rPr>
        <w:t>l </w:t>
      </w:r>
      <w:r>
        <w:rPr>
          <w:rFonts w:hint="eastAsia" w:ascii="宋体" w:hAnsi="宋体" w:eastAsia="宋体" w:cs="宋体"/>
          <w:sz w:val="24"/>
          <w:szCs w:val="24"/>
          <w:bdr w:val="none" w:color="auto" w:sz="0" w:space="0"/>
        </w:rPr>
        <w:t>区域健康档案接口</w:t>
      </w:r>
    </w:p>
    <w:p>
      <w:pPr>
        <w:pStyle w:val="6"/>
        <w:keepNext w:val="0"/>
        <w:keepLines w:val="0"/>
        <w:widowControl/>
        <w:suppressLineNumbers w:val="0"/>
        <w:spacing w:line="360" w:lineRule="atLeast"/>
        <w:ind w:left="420"/>
      </w:pPr>
      <w:r>
        <w:rPr>
          <w:rFonts w:hint="eastAsia" w:ascii="宋体" w:hAnsi="宋体" w:eastAsia="宋体" w:cs="宋体"/>
          <w:sz w:val="24"/>
          <w:szCs w:val="24"/>
        </w:rPr>
        <w:t>提供在区域协同下的患者健康档案调阅接口。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420"/>
        <w:jc w:val="both"/>
      </w:pPr>
      <w:r>
        <w:rPr>
          <w:rFonts w:hint="default" w:ascii="Wingdings" w:hAnsi="Wingdings" w:cs="Wingdings"/>
          <w:sz w:val="24"/>
          <w:szCs w:val="24"/>
          <w:bdr w:val="none" w:color="auto" w:sz="0" w:space="0"/>
        </w:rPr>
        <w:t>l </w:t>
      </w:r>
      <w:r>
        <w:rPr>
          <w:rFonts w:hint="eastAsia" w:ascii="宋体" w:hAnsi="宋体" w:eastAsia="宋体" w:cs="宋体"/>
          <w:sz w:val="24"/>
          <w:szCs w:val="24"/>
          <w:bdr w:val="none" w:color="auto" w:sz="0" w:space="0"/>
        </w:rPr>
        <w:t>门诊病历质控</w:t>
      </w:r>
    </w:p>
    <w:p>
      <w:pPr>
        <w:pStyle w:val="6"/>
        <w:keepNext w:val="0"/>
        <w:keepLines w:val="0"/>
        <w:widowControl/>
        <w:suppressLineNumbers w:val="0"/>
        <w:spacing w:line="360" w:lineRule="atLeast"/>
        <w:ind w:left="0" w:firstLine="480"/>
      </w:pPr>
      <w:r>
        <w:rPr>
          <w:rFonts w:hint="eastAsia" w:ascii="宋体" w:hAnsi="宋体" w:eastAsia="宋体" w:cs="宋体"/>
          <w:sz w:val="24"/>
          <w:szCs w:val="24"/>
        </w:rPr>
        <w:t>提供门急诊病历评分和统计功能，统计包括门诊病历评分汇总表、门诊病历书写情况表等报表。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420"/>
        <w:jc w:val="both"/>
      </w:pPr>
      <w:r>
        <w:rPr>
          <w:rFonts w:hint="default" w:ascii="Wingdings" w:hAnsi="Wingdings" w:cs="Wingdings"/>
          <w:sz w:val="24"/>
          <w:szCs w:val="24"/>
          <w:bdr w:val="none" w:color="auto" w:sz="0" w:space="0"/>
        </w:rPr>
        <w:t>l </w:t>
      </w:r>
      <w:r>
        <w:rPr>
          <w:rFonts w:hint="eastAsia" w:ascii="宋体" w:hAnsi="宋体" w:eastAsia="宋体" w:cs="宋体"/>
          <w:sz w:val="24"/>
          <w:szCs w:val="24"/>
          <w:bdr w:val="none" w:color="auto" w:sz="0" w:space="0"/>
        </w:rPr>
        <w:t>门诊病历自助打印</w:t>
      </w:r>
    </w:p>
    <w:p>
      <w:pPr>
        <w:pStyle w:val="6"/>
        <w:keepNext w:val="0"/>
        <w:keepLines w:val="0"/>
        <w:widowControl/>
        <w:suppressLineNumbers w:val="0"/>
        <w:spacing w:line="360" w:lineRule="atLeast"/>
        <w:ind w:left="0" w:firstLine="480"/>
      </w:pPr>
      <w:r>
        <w:rPr>
          <w:rFonts w:hint="eastAsia" w:ascii="宋体" w:hAnsi="宋体" w:eastAsia="宋体" w:cs="宋体"/>
          <w:sz w:val="24"/>
          <w:szCs w:val="24"/>
        </w:rPr>
        <w:t>提供患者自助打印门急诊病历功能，支持就诊卡、医保卡、发票号码、二代身份证扫描等多种自助打印方式。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420"/>
        <w:jc w:val="both"/>
      </w:pPr>
      <w:r>
        <w:rPr>
          <w:rFonts w:hint="default" w:ascii="Wingdings" w:hAnsi="Wingdings" w:cs="Wingdings"/>
          <w:sz w:val="24"/>
          <w:szCs w:val="24"/>
          <w:bdr w:val="none" w:color="auto" w:sz="0" w:space="0"/>
        </w:rPr>
        <w:t>l </w:t>
      </w:r>
      <w:r>
        <w:rPr>
          <w:rFonts w:hint="eastAsia" w:ascii="宋体" w:hAnsi="宋体" w:eastAsia="宋体" w:cs="宋体"/>
          <w:sz w:val="24"/>
          <w:szCs w:val="24"/>
          <w:bdr w:val="none" w:color="auto" w:sz="0" w:space="0"/>
        </w:rPr>
        <w:t>统计查询</w:t>
      </w:r>
    </w:p>
    <w:p>
      <w:pPr>
        <w:pStyle w:val="6"/>
        <w:keepNext w:val="0"/>
        <w:keepLines w:val="0"/>
        <w:widowControl/>
        <w:suppressLineNumbers w:val="0"/>
        <w:spacing w:line="360" w:lineRule="atLeast"/>
        <w:ind w:left="0" w:firstLine="480"/>
      </w:pPr>
      <w:r>
        <w:rPr>
          <w:rFonts w:hint="eastAsia" w:ascii="宋体" w:hAnsi="宋体" w:eastAsia="宋体" w:cs="宋体"/>
          <w:sz w:val="24"/>
          <w:szCs w:val="24"/>
        </w:rPr>
        <w:t>提供门诊诊疗活动的统计查询功能，应包含：门诊病历查询、门诊病历评分情况以及书写情况的统计以及门诊就诊记录的查询等。</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1.2.3 住院医生工作站系统</w:t>
      </w:r>
    </w:p>
    <w:p>
      <w:pPr>
        <w:pStyle w:val="6"/>
        <w:keepNext w:val="0"/>
        <w:keepLines w:val="0"/>
        <w:widowControl/>
        <w:suppressLineNumbers w:val="0"/>
        <w:spacing w:line="360" w:lineRule="atLeast"/>
        <w:ind w:left="0" w:firstLine="480"/>
      </w:pPr>
      <w:r>
        <w:rPr>
          <w:rFonts w:hint="eastAsia" w:ascii="宋体" w:hAnsi="宋体" w:eastAsia="宋体" w:cs="宋体"/>
          <w:sz w:val="24"/>
          <w:szCs w:val="24"/>
        </w:rPr>
        <w:t>通过本次住院医生站的建设，系统应解决“医嘱费用分离、诊断及传染病报卡、电子申请及报告”等医嘱问题，在医嘱中嵌入合理用药接口，进行必要的用药控制。对每类医嘱的流转做好流程控制，利用门户的消息平台实现提醒、查询功能，整合质控系统，实现今日工作通知、危急值管理、病人业务管理等功能。系统主要功能应包括：</w:t>
      </w:r>
    </w:p>
    <w:tbl>
      <w:tblPr>
        <w:tblW w:w="8443"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334"/>
        <w:gridCol w:w="1743"/>
        <w:gridCol w:w="53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3032" w:type="dxa"/>
            <w:gridSpan w:val="2"/>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功能模块</w:t>
            </w:r>
          </w:p>
        </w:tc>
        <w:tc>
          <w:tcPr>
            <w:tcW w:w="5321"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1289"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诊疗工作平台</w:t>
            </w:r>
          </w:p>
        </w:tc>
        <w:tc>
          <w:tcPr>
            <w:tcW w:w="171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我的主页</w:t>
            </w:r>
          </w:p>
        </w:tc>
        <w:tc>
          <w:tcPr>
            <w:tcW w:w="532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bdr w:val="none" w:color="auto" w:sz="0" w:space="0"/>
              </w:rPr>
              <w:t>自动为医生生成今日工作列表，包括“病人流向、待会诊病人、待转入病人、待转出病人、问题医嘱、待写病历、质控信息提醒、危急值提醒、待查检验结果”等信息。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2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171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病人列表</w:t>
            </w:r>
          </w:p>
        </w:tc>
        <w:tc>
          <w:tcPr>
            <w:tcW w:w="532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bdr w:val="none" w:color="auto" w:sz="0" w:space="0"/>
              </w:rPr>
              <w:t>在病人列表中为医护人员提供详尽的病人信息。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12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171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医生查房</w:t>
            </w:r>
          </w:p>
        </w:tc>
        <w:tc>
          <w:tcPr>
            <w:tcW w:w="532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bdr w:val="none" w:color="auto" w:sz="0" w:space="0"/>
              </w:rPr>
              <w:t>对既往病史、体温单、体征记录、护理记录、病案首页、病历索引、病情变化、过敏药物、诊断资料、手术资料、APACHE评分、病种质控等内容查阅。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25" w:hRule="atLeast"/>
          <w:tblCellSpacing w:w="15" w:type="dxa"/>
        </w:trPr>
        <w:tc>
          <w:tcPr>
            <w:tcW w:w="12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171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诊断管理</w:t>
            </w:r>
          </w:p>
        </w:tc>
        <w:tc>
          <w:tcPr>
            <w:tcW w:w="532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bdr w:val="none" w:color="auto" w:sz="0" w:space="0"/>
              </w:rPr>
              <w:t>对病人诊断进行集中管理的模式，支持ICD标准编码和自定义诊断两种模式；支持中、西医诊断；系统自动生成当前病人的有效诊断；支持图形化的诊断部位选择；支持知识库临床诊疗指南查阅；支持疾病报卡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2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171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医嘱处理</w:t>
            </w:r>
          </w:p>
        </w:tc>
        <w:tc>
          <w:tcPr>
            <w:tcW w:w="532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bdr w:val="none" w:color="auto" w:sz="0" w:space="0"/>
              </w:rPr>
              <w:t>提供有医嘱录入功能，医生可以直接通过电子病历系统下达医嘱。医嘱信息会传递到护士工作站，由护士直接执行。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10" w:hRule="atLeast"/>
          <w:tblCellSpacing w:w="15" w:type="dxa"/>
        </w:trPr>
        <w:tc>
          <w:tcPr>
            <w:tcW w:w="12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171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电子申请</w:t>
            </w:r>
          </w:p>
        </w:tc>
        <w:tc>
          <w:tcPr>
            <w:tcW w:w="532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bdr w:val="none" w:color="auto" w:sz="0" w:space="0"/>
              </w:rPr>
              <w:t>在电子病历系统与实验室信息系统、医学影像信息系统等系统连接后，用户可以直接通过医生站申请检验检查项目，并在系统内查阅检验检查结果，并可实现输血申请、手术申请、会诊申请等，以及申请状态的及时跟踪提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12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171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提醒功能</w:t>
            </w:r>
          </w:p>
        </w:tc>
        <w:tc>
          <w:tcPr>
            <w:tcW w:w="532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bdr w:val="none" w:color="auto" w:sz="0" w:space="0"/>
              </w:rPr>
              <w:t>为医生提供有多种提醒功能。以帮助医生能够及时填写病历资料，避免医疗差错与纠纷。其中提醒方式包括系统消息、手机短信、邮件等多种提醒方式。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2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医生移动查房</w:t>
            </w:r>
          </w:p>
        </w:tc>
        <w:tc>
          <w:tcPr>
            <w:tcW w:w="171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医生查房</w:t>
            </w:r>
          </w:p>
        </w:tc>
        <w:tc>
          <w:tcPr>
            <w:tcW w:w="532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bdr w:val="none" w:color="auto" w:sz="0" w:space="0"/>
              </w:rPr>
              <w:t>提供医生移动查房，医生在查房时，查看病人的体温单、体征记录、病案首页、病历检索、病情变化、过敏药物、诊断资料、手术资料等；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289"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其他辅助功能</w:t>
            </w:r>
          </w:p>
        </w:tc>
        <w:tc>
          <w:tcPr>
            <w:tcW w:w="171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临床助手</w:t>
            </w:r>
          </w:p>
        </w:tc>
        <w:tc>
          <w:tcPr>
            <w:tcW w:w="532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bdr w:val="none" w:color="auto" w:sz="0" w:space="0"/>
              </w:rPr>
              <w:t>临床助手提供如下功能：常用诊疗数据快速引用、临床项目数据字典查询、临床诊疗常用计算公式等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2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171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综合查询</w:t>
            </w:r>
          </w:p>
        </w:tc>
        <w:tc>
          <w:tcPr>
            <w:tcW w:w="532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bdr w:val="none" w:color="auto" w:sz="0" w:space="0"/>
              </w:rPr>
              <w:t>提供临床诊疗业务数据的查询功能，包含处方点评结果、临床危急值报告、住院病历查询等。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95" w:hRule="atLeast"/>
          <w:tblCellSpacing w:w="15" w:type="dxa"/>
        </w:trPr>
        <w:tc>
          <w:tcPr>
            <w:tcW w:w="12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ind w:left="0" w:firstLine="120"/>
            </w:pPr>
            <w:r>
              <w:rPr>
                <w:rFonts w:hint="eastAsia" w:ascii="宋体" w:hAnsi="宋体" w:eastAsia="宋体" w:cs="宋体"/>
                <w:sz w:val="24"/>
                <w:szCs w:val="24"/>
                <w:bdr w:val="none" w:color="auto" w:sz="0" w:space="0"/>
              </w:rPr>
              <w:t>系统接口</w:t>
            </w:r>
          </w:p>
        </w:tc>
        <w:tc>
          <w:tcPr>
            <w:tcW w:w="171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其他业务/管理系统接口</w:t>
            </w:r>
          </w:p>
        </w:tc>
        <w:tc>
          <w:tcPr>
            <w:tcW w:w="532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    可集成住院电子病历书写系统、抗菌药物管理系统、临床路径系统、合理用药系统、临床知识库系统等，实现病历书写/质控、药物合理使用监管、辅助临床决策支持等功能和作用。</w:t>
            </w:r>
          </w:p>
        </w:tc>
      </w:tr>
    </w:tbl>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1.2.4 住院电子病历系统</w:t>
      </w:r>
    </w:p>
    <w:p>
      <w:pPr>
        <w:pStyle w:val="6"/>
        <w:keepNext w:val="0"/>
        <w:keepLines w:val="0"/>
        <w:widowControl/>
        <w:suppressLineNumbers w:val="0"/>
        <w:spacing w:before="0" w:beforeAutospacing="0" w:after="150" w:afterAutospacing="0" w:line="300" w:lineRule="atLeast"/>
        <w:ind w:left="0" w:firstLine="540"/>
      </w:pPr>
      <w:r>
        <w:rPr>
          <w:rFonts w:hint="eastAsia" w:ascii="宋体" w:hAnsi="宋体" w:eastAsia="宋体" w:cs="宋体"/>
          <w:sz w:val="24"/>
          <w:szCs w:val="24"/>
        </w:rPr>
        <w:t>本次住院医生电子病历建设应根据医疗文档的结构特点和交换传输的要求，运用先进的IT技术和国际上流行的XML技术和HL7标准开发而成的医院住院医疗文档的书写，检索和管理等一整套的病历工具。经建设后的住院电子病历系统不仅能处理图片，文字，声音，表格等多媒体数据，同时还应集成医学图像，检验结果数据等医学专业数据，整个住院电子病历也应基于一个强大的医学知识库体系而构建的，能给医生以智能化的提示，同时集成了数字签名，指纹认证等技术。医院住院电子病历系统需要的使用采用双轨制，即打印病历手工签名和计算机电子病历两种模式并存。主要功能应包括： </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●全结构化病历书写</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书写界面要求为WORD操作界面风格，全结构化书写，所见即所得。医生书写病历，可以直接采用点选方式录入，同时也具备WORD的基本操作功能，包括字体大小、字号、行间距、页边距、颜色，排版，撤消，复制等多种功能，系统支持结构化点选录入和自主研发的医学结构化输入法等多种录入方式，系统提供右键功能，直接操作各个功能，支持病人的数据引用，结构化复制、粘贴；插入特殊符号；支持医嘱信息、检验报告、影像报告、临床路径、手术信息等数据引入；支持自定义医学表达式并且插入操作；支持插入图片，并且可在图片上实现病灶标注和语言描述；通过导出模板，可以设置个人模板或常用语等功能，大大提高医生工作效率。</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病历书写时调用的病历模版，能够识别病人性别自动生成相应内容，使用同一份模版，男性病人自动保留婚育史，女性病人自动导入月经及婚育史。支持病种模版，能够根据不同病种生成不同的主诉、现病史、既往史等资料。</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要求提供医学知识库检索功能，在医生书写病历时，选中病历中任何需要查询的关键字，在知识库中搜索到与这个关键字相关联的医学文档，可以查看文档，复制文档内容，以便进行医学指导作用。</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医生书写完成大病历后，首次病程记录内的有关大病历的内容自动生成，不需要医生重复书写，保证内容的一致性。</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●病历模版编辑器</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住院电子病历系统应提供多科室多病种的病历模板，可以满足大多数临床科室的需要。支持全结构化、标准化的快速模版制作，支持模版中知识库和医学片段模版的维护。</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住院电子病历系统根据《病历书写规范》的要求，将各类病历资料进行结构化处理，提供方便、快捷和准确的书写方式，提供书写的病历资料包括“首次病程记录、入院记录、病程记录（分病程记录、上级医师查房记录、术后病程记录、诊疗操作记录等）、术前小结、手术记录、各种手术治疗同意书、会诊记录、出院小结、死亡记录、病案首页”等。住院电子病历系统在满足西医的前提下，还可以根据中医院的特色，提供具有中医特色的功能，以满足中医病历书写规范的各项要求。如中医病案首页按中医要求生成，包含中西医诊断等；并且书写病历时，病历模板按中医病历书写要求来书写。</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病历模版支持医院自定义格式和自定义内容，允许具有相应权限的医生编辑修改模版，模版统一管理。支持医学片段编辑，允许每个医生编辑自己的医学片段，通过审核后，可以在临床写病历时引用。</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●住院病历书写质控</w:t>
      </w:r>
    </w:p>
    <w:p>
      <w:pPr>
        <w:pStyle w:val="6"/>
        <w:keepNext w:val="0"/>
        <w:keepLines w:val="0"/>
        <w:widowControl/>
        <w:suppressLineNumbers w:val="0"/>
        <w:spacing w:before="0" w:beforeAutospacing="0" w:after="120" w:afterAutospacing="0" w:line="300" w:lineRule="atLeast"/>
        <w:ind w:left="0" w:firstLine="480"/>
      </w:pPr>
      <w:r>
        <w:rPr>
          <w:rFonts w:hint="eastAsia" w:ascii="宋体" w:hAnsi="宋体" w:eastAsia="宋体" w:cs="宋体"/>
          <w:sz w:val="24"/>
          <w:szCs w:val="24"/>
        </w:rPr>
        <w:t>遵守卫生部门的“病历书写规范”，对病历书写时间和书写顺序进行相应的控制。通过设置病历质量控制规则和消息服务，实现住院病历环节时效控制；通过设置病历评分规则，实现住院病历的终末评分质控；通过病历检查和整改通知单，实现医疗和病历质量院级、科室、医生三级实施监控管理。评分允许系统自动扣分和手动评分，对于误扣分项，允许医生改正后重新量分。支持病历按照得分评定病案质量。</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●电子病案归档与调阅管理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提供电子病案的归档管理和调阅申请。</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●住院病历雷同分析</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住院病历雷同分析，包括同一患者历次住院的现病史雷同情况和同一患者病程记录上下文的雷同情况，通过设定“文字相似度比例、大段相同文字的占比”两个赋值，自动审查出疑似雷同病历。同时提供病历复制控制管理功能，可具体控制到每个医生的复制权限，实现主管部门对病历雷同现象的精细化管理。</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●住院病历内容质控</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提供住院病历环节内容质控，记录病历内在的逻辑问题。在病历完成之后，系统应对病人病历进行校验，系统自动检查病历当中的关键字眼。</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1.2.5 临床路径管理系统</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临床路径系统应具有专家配置，临床执行，统计分析等模块，紧密结合EMR、HIS、LIS等其它信息系统。提供增加和修改临床路径的工具，具有统计分析功能，不断提升临床路径的合理性。主要功能应包括：</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（1）专家配置管理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专家配置临床路径功能，可遴选受控病种并关联疾病、手术、医嘱项目，定义临床路径包括时点定义、活动维护、评估指标意义、变异原因定义、费用的上下限、对应的病历、医嘱的对照等。允许复制临床路径，并可导出上报。</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（2）临床路径执行</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提供临床医生执行临床路径功能，包括路径自动、手动导入，路径项目提醒执行，路径变异监控，退径/出径处理，路径自动更新，路径手术选择，路径出径日期调整，分支路径，串行路径等。</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（3）统计查询</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提供临床路径报表，包括路径病人查询管理、单病种相关非特异性指标评估表、临床路径实施汇总表、临床路径变异统计表等。</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（4）临床路径分析改进</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提供分析工具，统计分析路径执行情况，变异情况，可辅助医院不断改进临床路径。</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（5）临床路径系统扩展</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系统应支持临床路径的不断拓展，支持新增更多病种。</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（6）临床路径与RIS接口</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系统提供RIS接口，实现相关项目的直接下达</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（7）临床路径与LIS接口</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系统提供LIS接口，实现相关项目的直接下达</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1.2.6 护理电子病历系统</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（1）生命体征记录</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护士记录生命体征的功能，系统自动绘制体温单，支持体征集中录入及待测体征记录自动生成，提供体征全病区统一录入入口，预留知识库接口，遇到异常体征予以提示，支持脉搏短绌、起搏心率等的自动绘制，支持打印体温单等。</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（2）护理病历书写</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●提供护理病历书写和打印功能；</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●支持集中录入护理记录；</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●支持结量与血糖谱；</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●具有护理病历的模版管理功能，允许存在科室不同的模版；</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●支持按照医院的模版格式绘制护理病历模版；</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●书写护理病历或记录时，可引用已有数据及病历，并支持标签功能；</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●书写完成的护理病历，支持批量审查和签名。</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●支持待完成护理记录文书提醒功能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（3）护理病历质控</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提供护理病历文书的内容质控功能，支持体征录入值的校验以及对异常值的提醒功能。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（4）专项护理评估</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系统需提供对临床护理不良事件发生风险进行及时有效地评估的功能，具体应包含以下功能：</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●提供跌倒坠床风险评估、导管滑脱风险评估、伤口（压疮、褥疮）风险评估以及疼痛评估四种临床专项护理评估功能；</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●支持对评估信息的统计查询；</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●支持在系统适当位置实时提醒风险评估状态及结果；</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●专项护理评估表格支持打印功能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（5）护理不良事件登记</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系统需提供与医疗不良事件上报系统的接口，支持临床护士方便快捷地对护理不良事件进行登记上报，支持患者基本信息自动获取。</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（6）护理综合查询</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系统需提供对护理业务的综合查询功能，主要包含对体征、评估、危重患者等信息的查询功能，具体应包含以下功能：</w:t>
      </w:r>
    </w:p>
    <w:p>
      <w:pPr>
        <w:pStyle w:val="6"/>
        <w:keepNext w:val="0"/>
        <w:keepLines w:val="0"/>
        <w:widowControl/>
        <w:suppressLineNumbers w:val="0"/>
        <w:spacing w:before="0" w:beforeAutospacing="0" w:after="105" w:afterAutospacing="0"/>
        <w:ind w:left="840"/>
      </w:pPr>
      <w:r>
        <w:rPr>
          <w:rFonts w:hint="eastAsia" w:ascii="宋体" w:hAnsi="宋体" w:eastAsia="宋体" w:cs="宋体"/>
          <w:sz w:val="24"/>
          <w:szCs w:val="24"/>
        </w:rPr>
        <w:t>●提供三日体征查询、护理记录查询及分析；</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●支持对病区患者体征记录的综合查询，包含按手术名  称、按诊断名  称、按异常体征等方式检索；</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●支持按体征测量规则生成的体征监控信息查询、护理时效记录查询；</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●支持对专项护理评估信息的综合查询，包含跌倒坠床、导管滑脱、伤口风险、疼痛评估等；</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●支持对病危重患者呼吸机应用、死亡情况、出入量等信息的查询；</w:t>
      </w:r>
    </w:p>
    <w:p>
      <w:pPr>
        <w:pStyle w:val="6"/>
        <w:keepNext w:val="0"/>
        <w:keepLines w:val="0"/>
        <w:widowControl/>
        <w:suppressLineNumbers w:val="0"/>
        <w:spacing w:before="105" w:beforeAutospacing="0" w:after="105" w:afterAutospacing="0"/>
        <w:ind w:left="840"/>
      </w:pPr>
      <w:r>
        <w:rPr>
          <w:rFonts w:hint="eastAsia" w:ascii="宋体" w:hAnsi="宋体" w:eastAsia="宋体" w:cs="宋体"/>
          <w:sz w:val="24"/>
          <w:szCs w:val="24"/>
        </w:rPr>
        <w:t>●查询后，支持查阅具体患者的体温单、护理记录以及EMRView。</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（7）护理交接班</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提供护士交接班报告填写、查看及打印功能，支持晨间早报汇总功能。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（8）护理会诊</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系统支持院内病区之间以及病区与护理专业小组之间针对护理业务的会诊，支持护理会诊专业小组的人员维护，支持对护理会诊业务的统计查询功能。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（9）患者入院评估</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提供患者入院时的智能评估功能，指引护士完成入科的基本流程，包括体征测量、入院评估、护理诊断等。同时指导护士完成患者入院管理，规范患者入院工作流。</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（10）护理计划管理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提供护士制定护理计划的辅助功能，在获取患者治疗信息的基础上进行护理任务的拆分和提醒功能。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（11）系统接口</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提供与移动护理系统、住院电子病历系统、医疗不良事件上报系统等接口，实现系统间信息集成、管理集成。</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1.2.7病历质控系统</w:t>
      </w:r>
    </w:p>
    <w:p>
      <w:pPr>
        <w:pStyle w:val="6"/>
        <w:keepNext w:val="0"/>
        <w:keepLines w:val="0"/>
        <w:widowControl/>
        <w:suppressLineNumbers w:val="0"/>
        <w:spacing w:before="0" w:beforeAutospacing="0" w:after="150" w:afterAutospacing="0" w:line="300" w:lineRule="atLeast"/>
        <w:ind w:left="105" w:firstLine="600"/>
      </w:pPr>
      <w:r>
        <w:rPr>
          <w:rFonts w:hint="eastAsia" w:ascii="宋体" w:hAnsi="宋体" w:eastAsia="宋体" w:cs="宋体"/>
          <w:sz w:val="24"/>
          <w:szCs w:val="24"/>
        </w:rPr>
        <w:t>病历质控系统必须符合《卫生部医院信息系统基本功能规范》，HL7、ICD、XML、SNOMED等行业规范标准。主要功能应包括：</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●病历时限质控</w:t>
      </w:r>
    </w:p>
    <w:p>
      <w:pPr>
        <w:pStyle w:val="6"/>
        <w:keepNext w:val="0"/>
        <w:keepLines w:val="0"/>
        <w:widowControl/>
        <w:suppressLineNumbers w:val="0"/>
        <w:spacing w:before="0" w:beforeAutospacing="0" w:after="150" w:afterAutospacing="0" w:line="300" w:lineRule="atLeast"/>
        <w:ind w:left="105" w:firstLine="600"/>
      </w:pPr>
      <w:r>
        <w:rPr>
          <w:rFonts w:hint="eastAsia" w:ascii="宋体" w:hAnsi="宋体" w:eastAsia="宋体" w:cs="宋体"/>
          <w:sz w:val="24"/>
          <w:szCs w:val="24"/>
        </w:rPr>
        <w:t>提供病历时限监控提醒功能，自动监控病历书写状态，对不符合时间要求的病历在病房医生站予以提示，并且质控科可查。</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●病历内容质控</w:t>
      </w:r>
    </w:p>
    <w:p>
      <w:pPr>
        <w:pStyle w:val="6"/>
        <w:keepNext w:val="0"/>
        <w:keepLines w:val="0"/>
        <w:widowControl/>
        <w:suppressLineNumbers w:val="0"/>
        <w:spacing w:before="0" w:beforeAutospacing="0" w:after="150" w:afterAutospacing="0" w:line="300" w:lineRule="atLeast"/>
        <w:ind w:left="105" w:firstLine="600"/>
      </w:pPr>
      <w:r>
        <w:rPr>
          <w:rFonts w:hint="eastAsia" w:ascii="宋体" w:hAnsi="宋体" w:eastAsia="宋体" w:cs="宋体"/>
          <w:sz w:val="24"/>
          <w:szCs w:val="24"/>
        </w:rPr>
        <w:t>提供病历内容检查功能，支持系统设置关键字校验，病历保存时，自动校验病历的正确性，支持审阅病历，发送整改消息，临床医生接收整改消息，支持病历自动打分、重新量分、病历三级审阅、三级评分等。</w:t>
      </w:r>
    </w:p>
    <w:p>
      <w:pPr>
        <w:pStyle w:val="6"/>
        <w:keepNext w:val="0"/>
        <w:keepLines w:val="0"/>
        <w:widowControl/>
        <w:suppressLineNumbers w:val="0"/>
        <w:spacing w:before="0" w:beforeAutospacing="0" w:after="150" w:afterAutospacing="0" w:line="300" w:lineRule="atLeast"/>
        <w:ind w:left="420"/>
      </w:pPr>
      <w:r>
        <w:rPr>
          <w:rFonts w:hint="eastAsia" w:ascii="宋体" w:hAnsi="宋体" w:eastAsia="宋体" w:cs="宋体"/>
          <w:sz w:val="24"/>
          <w:szCs w:val="24"/>
        </w:rPr>
        <w:t>●统计分析</w:t>
      </w:r>
    </w:p>
    <w:p>
      <w:pPr>
        <w:pStyle w:val="6"/>
        <w:keepNext w:val="0"/>
        <w:keepLines w:val="0"/>
        <w:widowControl/>
        <w:suppressLineNumbers w:val="0"/>
        <w:spacing w:before="0" w:beforeAutospacing="0" w:after="150" w:afterAutospacing="0" w:line="300" w:lineRule="atLeast"/>
        <w:ind w:left="105" w:firstLine="600"/>
      </w:pPr>
      <w:r>
        <w:rPr>
          <w:rFonts w:hint="eastAsia" w:ascii="宋体" w:hAnsi="宋体" w:eastAsia="宋体" w:cs="宋体"/>
          <w:sz w:val="24"/>
          <w:szCs w:val="24"/>
        </w:rPr>
        <w:t>提供定制化报表，如病案质量统计表、病案质量分析报表、病案质量趋势分析、病历整改缺陷列表等。</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1.2.8 抗菌用药管理系统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抗菌用药管理系统基于门诊医生站、住院医生站等业务系统，着力在抗菌药物使用权限控制、使用申请、联用控制、微生物送检以及应用情况监测统计等方面为用户提供全方位功能加强对院内抗菌药物的正确、合理使用的监管，提高医疗质量和用药安全。主要功能应包括：</w:t>
      </w:r>
    </w:p>
    <w:tbl>
      <w:tblPr>
        <w:tblW w:w="8518"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747"/>
        <w:gridCol w:w="3457"/>
        <w:gridCol w:w="33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5159" w:type="dxa"/>
            <w:gridSpan w:val="2"/>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功能模块</w:t>
            </w:r>
          </w:p>
        </w:tc>
        <w:tc>
          <w:tcPr>
            <w:tcW w:w="326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临床干预功能</w:t>
            </w:r>
          </w:p>
        </w:tc>
        <w:tc>
          <w:tcPr>
            <w:tcW w:w="3427"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医嘱干预功能</w:t>
            </w:r>
          </w:p>
        </w:tc>
        <w:tc>
          <w:tcPr>
            <w:tcW w:w="326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抗生素分级管理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26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联合用药限制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26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科室和医生两级用药限制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26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Ⅰ类切口用药管理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26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特殊人群用药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26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抗菌药物越级审批管理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处方权限功能</w:t>
            </w:r>
          </w:p>
        </w:tc>
        <w:tc>
          <w:tcPr>
            <w:tcW w:w="326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医生全部药品处方权限管控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26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医生抗菌药品处方权限管控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信息查询功能</w:t>
            </w:r>
          </w:p>
        </w:tc>
        <w:tc>
          <w:tcPr>
            <w:tcW w:w="326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费用排名公示查询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26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个人抗生素使用情况查询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统计分析功能</w:t>
            </w:r>
          </w:p>
        </w:tc>
        <w:tc>
          <w:tcPr>
            <w:tcW w:w="342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住院抗菌药物使用情况</w:t>
            </w:r>
          </w:p>
        </w:tc>
        <w:tc>
          <w:tcPr>
            <w:tcW w:w="3269"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提供各类指标的统计分析功能，满足医院等级评审和相关检查的要求。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住院药品费用排名公示</w:t>
            </w:r>
          </w:p>
        </w:tc>
        <w:tc>
          <w:tcPr>
            <w:tcW w:w="326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抗菌药物使用金额排名</w:t>
            </w:r>
          </w:p>
        </w:tc>
        <w:tc>
          <w:tcPr>
            <w:tcW w:w="326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出院病人抗菌药物使用情况统计</w:t>
            </w:r>
          </w:p>
        </w:tc>
        <w:tc>
          <w:tcPr>
            <w:tcW w:w="326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手术预防用药指标统计</w:t>
            </w:r>
          </w:p>
        </w:tc>
        <w:tc>
          <w:tcPr>
            <w:tcW w:w="326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疾病治疗抗菌药物成本分析</w:t>
            </w:r>
          </w:p>
        </w:tc>
        <w:tc>
          <w:tcPr>
            <w:tcW w:w="326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医院药品使用强度统计</w:t>
            </w:r>
          </w:p>
        </w:tc>
        <w:tc>
          <w:tcPr>
            <w:tcW w:w="326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门诊抗菌药物处方统计</w:t>
            </w:r>
          </w:p>
        </w:tc>
        <w:tc>
          <w:tcPr>
            <w:tcW w:w="326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门诊药品与抗菌药物使用情况统计</w:t>
            </w:r>
          </w:p>
        </w:tc>
        <w:tc>
          <w:tcPr>
            <w:tcW w:w="326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越权使用抗菌药物汇总</w:t>
            </w:r>
          </w:p>
        </w:tc>
        <w:tc>
          <w:tcPr>
            <w:tcW w:w="326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抗菌药物预防用药汇总</w:t>
            </w:r>
          </w:p>
        </w:tc>
        <w:tc>
          <w:tcPr>
            <w:tcW w:w="326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抗菌药物使用同比环比</w:t>
            </w:r>
          </w:p>
        </w:tc>
        <w:tc>
          <w:tcPr>
            <w:tcW w:w="326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702"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342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抗菌药物临床应用监测网统计表</w:t>
            </w:r>
          </w:p>
        </w:tc>
        <w:tc>
          <w:tcPr>
            <w:tcW w:w="326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提供卫生部抗菌药物临床应用监测网所需的报表</w:t>
            </w:r>
          </w:p>
        </w:tc>
      </w:tr>
    </w:tbl>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1.2.9 合理用药监测系统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合理用药监测系统主要功能应包括：</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1.2.9.1 医嘱（处方）审查功能</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合理用药监测系统的审查功能包括：</w:t>
      </w:r>
    </w:p>
    <w:p>
      <w:pPr>
        <w:pStyle w:val="6"/>
        <w:keepNext w:val="0"/>
        <w:keepLines w:val="0"/>
        <w:widowControl/>
        <w:suppressLineNumbers w:val="0"/>
        <w:spacing w:before="0" w:beforeAutospacing="0" w:after="150" w:afterAutospacing="0" w:line="300" w:lineRule="atLeast"/>
        <w:ind w:left="0" w:firstLine="240"/>
      </w:pPr>
      <w:r>
        <w:rPr>
          <w:rFonts w:hint="eastAsia" w:ascii="宋体" w:hAnsi="宋体" w:eastAsia="宋体" w:cs="宋体"/>
          <w:sz w:val="24"/>
          <w:szCs w:val="24"/>
        </w:rPr>
        <w:t>（1）药物相互作用审查：是指两两药物联用可能产生的不良相互作用。这</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些相互作用可能导致毒性增强、药效降低等变化，使药品的实际使用效果发生改变，导致不良反应的发生，是临床用药中需要密切关注的问题。</w:t>
      </w:r>
    </w:p>
    <w:p>
      <w:pPr>
        <w:pStyle w:val="6"/>
        <w:keepNext w:val="0"/>
        <w:keepLines w:val="0"/>
        <w:widowControl/>
        <w:suppressLineNumbers w:val="0"/>
        <w:spacing w:before="0" w:beforeAutospacing="0" w:after="150" w:afterAutospacing="0" w:line="300" w:lineRule="atLeast"/>
        <w:ind w:left="0" w:firstLine="240"/>
      </w:pPr>
      <w:r>
        <w:rPr>
          <w:rFonts w:hint="eastAsia" w:ascii="宋体" w:hAnsi="宋体" w:eastAsia="宋体" w:cs="宋体"/>
          <w:sz w:val="24"/>
          <w:szCs w:val="24"/>
        </w:rPr>
        <w:t>（2）注射液体外配伍审查：检查注射剂药物配伍使用时，是否存在理化相</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容或不相容。本模块审查关注的是注射剂药物配伍时是否有足以引起不良后果的理化改变（如颜色改变、沉淀、混沌、微粒增加、酸碱性变化等）。</w:t>
      </w:r>
    </w:p>
    <w:p>
      <w:pPr>
        <w:pStyle w:val="6"/>
        <w:keepNext w:val="0"/>
        <w:keepLines w:val="0"/>
        <w:widowControl/>
        <w:suppressLineNumbers w:val="0"/>
        <w:spacing w:before="0" w:beforeAutospacing="0" w:after="150" w:afterAutospacing="0" w:line="300" w:lineRule="atLeast"/>
        <w:ind w:left="0" w:firstLine="240"/>
      </w:pPr>
      <w:r>
        <w:rPr>
          <w:rFonts w:hint="eastAsia" w:ascii="宋体" w:hAnsi="宋体" w:eastAsia="宋体" w:cs="宋体"/>
          <w:sz w:val="24"/>
          <w:szCs w:val="24"/>
        </w:rPr>
        <w:t>（3）剂量范围审查：检查用户输入的药品用法用量是否处于相关资料所提</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示的正确的范围内。能对最大、最小剂量（次剂量、日剂量）、极量（次极量、日极量）、用药频率、用药持续时间、终身累积量进行审查，但只是提供一个药品的正常使用范围，不考虑适应症和用药类型。</w:t>
      </w:r>
    </w:p>
    <w:p>
      <w:pPr>
        <w:pStyle w:val="6"/>
        <w:keepNext w:val="0"/>
        <w:keepLines w:val="0"/>
        <w:widowControl/>
        <w:suppressLineNumbers w:val="0"/>
        <w:spacing w:before="0" w:beforeAutospacing="0" w:after="150" w:afterAutospacing="0" w:line="300" w:lineRule="atLeast"/>
        <w:ind w:left="0" w:firstLine="240"/>
      </w:pPr>
      <w:r>
        <w:rPr>
          <w:rFonts w:hint="eastAsia" w:ascii="宋体" w:hAnsi="宋体" w:eastAsia="宋体" w:cs="宋体"/>
          <w:sz w:val="24"/>
          <w:szCs w:val="24"/>
        </w:rPr>
        <w:t>（4）药物过敏审查：药物过敏审查功能是在获取病人既往过敏原或过敏类</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信息的基础上，提示病人用药处方中是否存在与病人既往过敏物质相关的、可能导致类似过敏反应的药品。</w:t>
      </w:r>
    </w:p>
    <w:p>
      <w:pPr>
        <w:pStyle w:val="6"/>
        <w:keepNext w:val="0"/>
        <w:keepLines w:val="0"/>
        <w:widowControl/>
        <w:suppressLineNumbers w:val="0"/>
        <w:spacing w:before="0" w:beforeAutospacing="0" w:after="150" w:afterAutospacing="0" w:line="300" w:lineRule="atLeast"/>
        <w:ind w:left="0" w:firstLine="240"/>
      </w:pPr>
      <w:r>
        <w:rPr>
          <w:rFonts w:hint="eastAsia" w:ascii="宋体" w:hAnsi="宋体" w:eastAsia="宋体" w:cs="宋体"/>
          <w:sz w:val="24"/>
          <w:szCs w:val="24"/>
        </w:rPr>
        <w:t>（5）药物禁忌审查：本审查功能将病人的疾病情况与药物禁忌症关联起</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来，如果处方药物的禁忌症与病人疾病情况相关时，说明病人存在使用某个药物的禁忌症，系统即发出警告提醒医生可能需要调整病人的药物治疗方案。</w:t>
      </w:r>
    </w:p>
    <w:p>
      <w:pPr>
        <w:pStyle w:val="6"/>
        <w:keepNext w:val="0"/>
        <w:keepLines w:val="0"/>
        <w:widowControl/>
        <w:suppressLineNumbers w:val="0"/>
        <w:spacing w:before="0" w:beforeAutospacing="0" w:after="150" w:afterAutospacing="0" w:line="300" w:lineRule="atLeast"/>
        <w:ind w:left="0" w:firstLine="240"/>
      </w:pPr>
      <w:r>
        <w:rPr>
          <w:rFonts w:hint="eastAsia" w:ascii="宋体" w:hAnsi="宋体" w:eastAsia="宋体" w:cs="宋体"/>
          <w:sz w:val="24"/>
          <w:szCs w:val="24"/>
        </w:rPr>
        <w:t>（6）不良反应审查：本审查功能将病人的疾病情况与药物的副作用关联起</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来，如果医生处方的药物可能引起某种不良反应，而病人恰好存在相似的疾病情况时，系统会发出警告，以提醒医生注意药物的不良反应可能使病人原有病情加重。</w:t>
      </w:r>
    </w:p>
    <w:p>
      <w:pPr>
        <w:pStyle w:val="6"/>
        <w:keepNext w:val="0"/>
        <w:keepLines w:val="0"/>
        <w:widowControl/>
        <w:suppressLineNumbers w:val="0"/>
        <w:spacing w:before="0" w:beforeAutospacing="0" w:after="150" w:afterAutospacing="0" w:line="300" w:lineRule="atLeast"/>
        <w:ind w:left="0" w:firstLine="240"/>
      </w:pPr>
      <w:r>
        <w:rPr>
          <w:rFonts w:hint="eastAsia" w:ascii="宋体" w:hAnsi="宋体" w:eastAsia="宋体" w:cs="宋体"/>
          <w:sz w:val="24"/>
          <w:szCs w:val="24"/>
        </w:rPr>
        <w:t>（7）重复用药审查（重复成分、重复治疗审查）：重复成分审查提示病人</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用药处方中的两个或多个药品是否存在相同的药物成分，可能导致重复用药问题；重复治疗审查提示处方中的两个或多个药品（带给药途径）同属某个药物治疗分类（即具有同一种治疗目的），可能存在重复用药的问题。</w:t>
      </w:r>
    </w:p>
    <w:p>
      <w:pPr>
        <w:pStyle w:val="6"/>
        <w:keepNext w:val="0"/>
        <w:keepLines w:val="0"/>
        <w:widowControl/>
        <w:suppressLineNumbers w:val="0"/>
        <w:spacing w:before="0" w:beforeAutospacing="0" w:after="150" w:afterAutospacing="0" w:line="300" w:lineRule="atLeast"/>
        <w:ind w:left="0" w:firstLine="240"/>
      </w:pPr>
      <w:r>
        <w:rPr>
          <w:rFonts w:hint="eastAsia" w:ascii="宋体" w:hAnsi="宋体" w:eastAsia="宋体" w:cs="宋体"/>
          <w:sz w:val="24"/>
          <w:szCs w:val="24"/>
        </w:rPr>
        <w:t>（8）给药途径审查（剂型-给药途径、药品-给药途径审查）：本项功能提</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示处方药品中可能存在的剂型与给药途径不匹配的问题，如片剂不可注射、滴眼液不可口服；并收集某些药物不能用于某些给药途径的数据，如胰岛素注射液不能用于口服，氯化钾注射液不能静推等等。临床上如果有此类用药不规范的情况，即予以提示，并提示用户可能有处方录入错误。</w:t>
      </w:r>
    </w:p>
    <w:p>
      <w:pPr>
        <w:pStyle w:val="6"/>
        <w:keepNext w:val="0"/>
        <w:keepLines w:val="0"/>
        <w:widowControl/>
        <w:suppressLineNumbers w:val="0"/>
        <w:spacing w:before="0" w:beforeAutospacing="0" w:after="150" w:afterAutospacing="0" w:line="300" w:lineRule="atLeast"/>
        <w:ind w:left="0" w:firstLine="240"/>
      </w:pPr>
      <w:r>
        <w:rPr>
          <w:rFonts w:hint="eastAsia" w:ascii="宋体" w:hAnsi="宋体" w:eastAsia="宋体" w:cs="宋体"/>
          <w:sz w:val="24"/>
          <w:szCs w:val="24"/>
        </w:rPr>
        <w:t>（9）老人用药审查：本模块的审查旨在帮助医生或药师更合理地对老人用</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药，防止不必要的不良医疗事件发生。</w:t>
      </w:r>
    </w:p>
    <w:p>
      <w:pPr>
        <w:pStyle w:val="6"/>
        <w:keepNext w:val="0"/>
        <w:keepLines w:val="0"/>
        <w:widowControl/>
        <w:suppressLineNumbers w:val="0"/>
        <w:spacing w:before="0" w:beforeAutospacing="0" w:after="150" w:afterAutospacing="0" w:line="300" w:lineRule="atLeast"/>
        <w:ind w:left="0" w:firstLine="240"/>
      </w:pPr>
      <w:r>
        <w:rPr>
          <w:rFonts w:hint="eastAsia" w:ascii="宋体" w:hAnsi="宋体" w:eastAsia="宋体" w:cs="宋体"/>
          <w:sz w:val="24"/>
          <w:szCs w:val="24"/>
        </w:rPr>
        <w:t>（10）儿童用药审查：本模块提示当病人为儿童，其处方药品中是否存在不</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适于儿童使用的药品。</w:t>
      </w:r>
    </w:p>
    <w:p>
      <w:pPr>
        <w:pStyle w:val="6"/>
        <w:keepNext w:val="0"/>
        <w:keepLines w:val="0"/>
        <w:widowControl/>
        <w:suppressLineNumbers w:val="0"/>
        <w:spacing w:before="0" w:beforeAutospacing="0" w:after="150" w:afterAutospacing="0" w:line="300" w:lineRule="atLeast"/>
        <w:ind w:left="0" w:firstLine="240"/>
      </w:pPr>
      <w:r>
        <w:rPr>
          <w:rFonts w:hint="eastAsia" w:ascii="宋体" w:hAnsi="宋体" w:eastAsia="宋体" w:cs="宋体"/>
          <w:sz w:val="24"/>
          <w:szCs w:val="24"/>
        </w:rPr>
        <w:t>（11）妊娠用药审查：提示妊娠期妇女用药时，其处方药品中是否存在不适</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于妊娠期使用的药品，从而帮助医生或药师在患者妊娠期间合理用药，提高妊娠用药安全性。</w:t>
      </w:r>
    </w:p>
    <w:p>
      <w:pPr>
        <w:pStyle w:val="6"/>
        <w:keepNext w:val="0"/>
        <w:keepLines w:val="0"/>
        <w:widowControl/>
        <w:suppressLineNumbers w:val="0"/>
        <w:spacing w:before="0" w:beforeAutospacing="0" w:after="150" w:afterAutospacing="0" w:line="300" w:lineRule="atLeast"/>
        <w:ind w:left="0" w:firstLine="240"/>
      </w:pPr>
      <w:r>
        <w:rPr>
          <w:rFonts w:hint="eastAsia" w:ascii="宋体" w:hAnsi="宋体" w:eastAsia="宋体" w:cs="宋体"/>
          <w:sz w:val="24"/>
          <w:szCs w:val="24"/>
        </w:rPr>
        <w:t>（12）哺乳用药审查：哺乳期妇女用药时，药物除对母亲产生影响外，还可</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通过乳汁进入婴儿体内，从而对婴儿也产生影响。本审查功能可提示医生或药师处方中是否有哺乳妇女不宜使用的药物，从而减少针对哺乳妇女的不良医疗事件发生。</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1.2.7.2 审查结果的统计和分析功能</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在进行用药监测时，可以对监测结果的数据进行自动采集和保存，并能提供全面的药物监测结果的统计和分析。医院可以根据需要设定统计条件和统计范围，显示问题医嘱的发生情况、问题类型、分布科室、严重程度和发生频率，并可以“科室”、 “医生”、“药品”、“时间”、“监测类型”、“警示级别”等多种关键字对病人用药处方进行监测结果的全方位统计和分析，能生成各种统计结果报表并可以Excel文件的形式导出，为医院的相关部门提供医院合理用药分析研究和管理的数据信息。</w:t>
      </w:r>
    </w:p>
    <w:p>
      <w:pPr>
        <w:pStyle w:val="3"/>
        <w:keepNext w:val="0"/>
        <w:keepLines w:val="0"/>
        <w:widowControl/>
        <w:suppressLineNumbers w:val="0"/>
        <w:spacing w:before="300" w:beforeAutospacing="0" w:after="150" w:afterAutospacing="0"/>
      </w:pPr>
      <w:r>
        <w:rPr>
          <w:rFonts w:hint="eastAsia" w:ascii="宋体" w:hAnsi="宋体" w:eastAsia="宋体" w:cs="宋体"/>
          <w:sz w:val="24"/>
          <w:szCs w:val="24"/>
        </w:rPr>
        <w:t>1.3 医技辅助系统</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★1.3.1 检验管理系统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本次实验室信息管理系统建设应体现“以病人标本管理为中心，以检验质量为核心，贯彻实验室全面质量管理思想为指导，实现实验室全面信息化为宗旨”的思想。系统既全面支持“医疗机构临床实验室管理办法”、“医学实验室-质量和能力的特殊要求”（ISO 15189）、ISO9000系列、ISO/IEC 17025、GB/T 15481-2000、GLP（优良实验室规范）、GALP（优良自动化实验室规范）、FDA Ruling 21 CFR Part 11（电子记录和电子签名的新规范）等实验室管理规范，又考虑国内的实验室的实际操作情况，使系统符合目前国内实际应用的行业内领先的系统。本项目实际建设业务系统包括：</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1.3.1.1</w:t>
      </w:r>
      <w:r>
        <w:rPr>
          <w:rFonts w:hint="eastAsia" w:ascii="宋体" w:hAnsi="宋体" w:eastAsia="宋体" w:cs="宋体"/>
          <w:sz w:val="24"/>
          <w:szCs w:val="24"/>
        </w:rPr>
        <w:t> 检验主业务系统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检验主业务系统主要完成来自门诊、住院、体检、外单位的标本登记、结果的输入、结果审核、报告单打印、查询统计以及基础数据维护等。</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系统涵盖生化、免疫、常规、急诊等科室。</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技师工作站：（含生化、免疫、常规等）</w:t>
      </w:r>
    </w:p>
    <w:tbl>
      <w:tblPr>
        <w:tblW w:w="851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933"/>
        <w:gridCol w:w="65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35"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标本登记</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主要是完成来自门诊或病房的化验申请单的手工登记工作。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批量处理</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完成对病人资料和结果数据的成批修改、删除，以及对体检标本的成批登记。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结果输入</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主要对手工结果的输入和修改，以及对一些阴阳性结果的成批输入。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标本核收</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通过扫描条码接收病区中合格的标本并自动完成计费，并把不合格的标本退回病区。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科研/学习登记</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主要登记科研人员的科研成果，以便主任奖励或管理人员。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历史结果回顾</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病人在系统中的唯一编号查询本次检验项目对应的历史结果和现结果进行的比较。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结果审核</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系统根据审核人员事先设定的审核条件对病人的检验结果进行智能分析，并根据不同的结果提示，决定报告单是否签发、是否需重做或需重采集标本等等处理意见。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系统误差纠正</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主要完成对同一批标本的结果根据当天的质控情况，确定截距和斜率对标本的结果进行系统误差的纠正。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报告单查询</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根据提供的标本信息综合查询符合条件的报告单。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传染病报卡</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该窗口的功能是把符合某一种传染病条件的结果作为查询条件，检索出符合条件的病人信息，并打印出来报给防疫站。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结果趋势查询</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查询某一病人在一段时期内，某一项目的结果变化的趋势情况。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工作量统计</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统计检验科的工作量情况，可以按检验部门、检查项目、申请医生、操作人员、病人的就诊类别综合和分开统计工作量。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工作进度分析</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主要是用来分析当天的各类标本的工作进度情况。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信息修改查询</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查询操作者修改过的病人的基本信息及结果。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科研统计</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统计某一段时间内某个项目的标准差、最大最小值及把某一段时间内的项目结果导成Excel文件。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报告单打印</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用于打印报告单，操作界面与主业务窗口的报告单打印。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工作清单打印</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用来打印当天检验科本部门所做的各病人的汇总情况，操作界面如同测定清单打印。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测定清单打印</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主要用于打印当天的测定清单，用于归档和纸质保存。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异常结果打印</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主要用来打印当天体检病人中结果不正常的病人信息和结果信息，操作界面如同测定清单打印。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标本、报告单收发记录表</w:t>
            </w:r>
          </w:p>
        </w:tc>
        <w:tc>
          <w:tcPr>
            <w:tcW w:w="654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记录标本接收及报告单发送的详细情况统记。</w:t>
            </w:r>
          </w:p>
        </w:tc>
      </w:tr>
    </w:tbl>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1.3.1.2</w:t>
      </w:r>
      <w:r>
        <w:rPr>
          <w:rFonts w:hint="eastAsia" w:ascii="宋体" w:hAnsi="宋体" w:eastAsia="宋体" w:cs="宋体"/>
          <w:sz w:val="24"/>
          <w:szCs w:val="24"/>
        </w:rPr>
        <w:t> 通讯系统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完成仪器原始数据采集及解析，包括各种传输模式（串口、网口、USB、读文件等）。</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双向通信</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对于支持条码读取的仪器，本模块可以使仪器实现双向通信的功能，仪器可以通过读取试管上的条码，自动获取条码信息对应的检验医嘱信息，自动测试检验项目，仪器不会漏检检验项目，并且与标本放的位置也无关，只与条码信息相关，可以杜绝标本的张冠李戴的差错，实现自动化和智能化，对于种做得项目，系统可以预先设定稀释倍数，从而大大提高检验的工作效率和工作质量。</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酶标仪测定</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主要用来测定肝炎系列、HIV等的项目，项目测定前先维护好每个项目的测定参数，如测量模式、主次波长、阴性计算公式等，测定的界面的布置与实际的酶标板一致，标本的排列可以根据板的类型和操作人员的习惯选择横排或竖排等，阴阳性对照标本、空白和质控标本的位置可以任意放置。系统直接控制酶标仪的测试过程，直接读取酶标仪的原始对应的板孔的吸光度值，系统自动计算CUTOFF值，自动判断阴阳性结果，根据卫生部的要求保存各个板的原始的OD值、测定方法、CUTOFF值及S/CO值，并打印原始数据的报表，以备上级主管部门的检查。</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1.3.1.3</w:t>
      </w:r>
      <w:r>
        <w:rPr>
          <w:rFonts w:hint="eastAsia" w:ascii="宋体" w:hAnsi="宋体" w:eastAsia="宋体" w:cs="宋体"/>
          <w:sz w:val="24"/>
          <w:szCs w:val="24"/>
        </w:rPr>
        <w:t> 质控管理系统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实验室室内质控管理，包括质控规划、失控分析、质控报表等。</w:t>
      </w:r>
    </w:p>
    <w:p>
      <w:pPr>
        <w:pStyle w:val="6"/>
        <w:keepNext w:val="0"/>
        <w:keepLines w:val="0"/>
        <w:widowControl/>
        <w:suppressLineNumbers w:val="0"/>
        <w:spacing w:before="0" w:beforeAutospacing="0" w:after="150" w:afterAutospacing="0" w:line="300" w:lineRule="atLeast"/>
        <w:ind w:left="0" w:firstLine="480"/>
      </w:pPr>
      <w:r>
        <w:rPr>
          <w:rStyle w:val="8"/>
          <w:rFonts w:hint="eastAsia" w:ascii="宋体" w:hAnsi="宋体" w:eastAsia="宋体" w:cs="宋体"/>
          <w:sz w:val="24"/>
          <w:szCs w:val="24"/>
        </w:rPr>
        <w:t>系统的主要功能包括：</w:t>
      </w:r>
    </w:p>
    <w:tbl>
      <w:tblPr>
        <w:tblW w:w="851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930"/>
        <w:gridCol w:w="65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35" w:hRule="atLeast"/>
          <w:tblCellSpacing w:w="15" w:type="dxa"/>
        </w:trPr>
        <w:tc>
          <w:tcPr>
            <w:tcW w:w="18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质控批号输入</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用于设置仪器当前使用的质控批号、质控水平、质控代码以及使用的仪器。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质控靶值输入</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设置各台仪器对应的每个批号中每个质控项目的靶值和标准差。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质控规划</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设置质控的报表类型、批号及完成时间，及质控的失控规则等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质控数据输入</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用于修改或删除当天的质控数据，以及输入一些手工的质控数据和打印当月的质控数据。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失控处理</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对失控的数据进行分析及处理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质控比对</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不同仪器的质控结果比对，包括比对仪器及项目设置、结果导入、比对报表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8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质控月报表</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用来显示各批号的各种质控图（包括Westgard图、Monica图、Youden图、误差累积图、多规则Sheward图等等），并根据各个质控图的失控规则，来判断该项目是否失控。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质控日报表</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主要用于查询每天的质控日报，本科室各个项目的VIS值。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结果累计质控</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统计一段时间内病人所做项目的结果来确定本实验室质控情况的一种新方法。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质控小助手</w:t>
            </w:r>
          </w:p>
        </w:tc>
        <w:tc>
          <w:tcPr>
            <w:tcW w:w="6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实时提醒质控未做项目及失控项目</w:t>
            </w:r>
          </w:p>
        </w:tc>
      </w:tr>
    </w:tbl>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 </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1.3.1.4</w:t>
      </w:r>
      <w:r>
        <w:rPr>
          <w:rFonts w:hint="eastAsia" w:ascii="宋体" w:hAnsi="宋体" w:eastAsia="宋体" w:cs="宋体"/>
          <w:sz w:val="24"/>
          <w:szCs w:val="24"/>
        </w:rPr>
        <w:t> 试剂耗材管理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试剂管理系统是对检验科中试剂、耗材、小型设备（温度计等）之类的物品进行统一的管理，包括物品的计划，申请，采购，入库，出库，消耗统计，试剂成本核算。</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（1）采用条码化管理模式</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根据采购单，生成入库单，修正入库数量（可能入库的数量跟采购的数量不相同，或者采购的数量被多次入库），入库时生成试剂条码；条码规格：包括有效期，开瓶效期，批号等</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（2）采购计划自动产生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根据试剂之前的实际使用情况，库存的情况，试剂的最低库存量，安排试剂的采购计划，以满足实际的实际使用；</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（3）与实际检测标本关联</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试剂采用的开闭瓶管理，仪器在添加试剂或者更换试剂时，对添加时间及数量进行记录；使试剂的试剂使用与标本结合起来。</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试剂使用完后自动闭瓶处理，统计开瓶到闭瓶标本实际测试数，理论测试数，计算损耗的数量。</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可以对不同批次的试剂进行数据结果分析，得到不同批次试剂检测标本存在的检测的差异性。</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（4）试剂成本核算</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成本核算窗口，根据时间范围，根据统计类型（按部门统计，按供 应商统计，按仪器名  称统计，按试剂种类，按成本核算），按实际样本数及试剂消耗数量，统计项目的实际成本及理论成本。</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1.3.1.5</w:t>
      </w:r>
      <w:r>
        <w:rPr>
          <w:rFonts w:hint="eastAsia" w:ascii="宋体" w:hAnsi="宋体" w:eastAsia="宋体" w:cs="宋体"/>
          <w:sz w:val="24"/>
          <w:szCs w:val="24"/>
        </w:rPr>
        <w:t> 主任管理系统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主要用于对员工工作监察、员工档案管理、值班安排、考勤管理、工作量统计分析等，针对实验室日常工作进行监管和分析统计。功能包括：</w:t>
      </w:r>
    </w:p>
    <w:tbl>
      <w:tblPr>
        <w:tblW w:w="851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931"/>
        <w:gridCol w:w="65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35" w:hRule="atLeast"/>
          <w:tblCellSpacing w:w="15" w:type="dxa"/>
        </w:trPr>
        <w:tc>
          <w:tcPr>
            <w:tcW w:w="188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w:t>
            </w:r>
          </w:p>
        </w:tc>
        <w:tc>
          <w:tcPr>
            <w:tcW w:w="6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88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工作量统计</w:t>
            </w:r>
          </w:p>
        </w:tc>
        <w:tc>
          <w:tcPr>
            <w:tcW w:w="6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统计检验科的工作量情况，可以按检验部门、检查项目、申请医生、操作人员、病人的就诊类别综合和分开统计工作量。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工作进度监管</w:t>
            </w:r>
          </w:p>
        </w:tc>
        <w:tc>
          <w:tcPr>
            <w:tcW w:w="6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主要是用来分析当天的各类标本的工作进度情况，未及时完成报告监控。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信息修改查询</w:t>
            </w:r>
          </w:p>
        </w:tc>
        <w:tc>
          <w:tcPr>
            <w:tcW w:w="6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查询操作者修改过的病人的基本信息及结果。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操作规程</w:t>
            </w:r>
          </w:p>
        </w:tc>
        <w:tc>
          <w:tcPr>
            <w:tcW w:w="6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主要用于增添各种仪器的操作规程及操作的注意事项。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通知查询</w:t>
            </w:r>
          </w:p>
        </w:tc>
        <w:tc>
          <w:tcPr>
            <w:tcW w:w="6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用于医院发布各种通知及消息，能便于医院工作人员查询。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科室制度</w:t>
            </w:r>
          </w:p>
        </w:tc>
        <w:tc>
          <w:tcPr>
            <w:tcW w:w="6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主要用于管理各科室的规章制度。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排班表</w:t>
            </w:r>
          </w:p>
        </w:tc>
        <w:tc>
          <w:tcPr>
            <w:tcW w:w="6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科室日常排班，月排班表、周排班表。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8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主任工作日志</w:t>
            </w:r>
          </w:p>
        </w:tc>
        <w:tc>
          <w:tcPr>
            <w:tcW w:w="6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主任记录每天工作日志信息。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用户管理</w:t>
            </w:r>
          </w:p>
        </w:tc>
        <w:tc>
          <w:tcPr>
            <w:tcW w:w="6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用户对具体的用户（操作员）的增加和删除的维护，以及为每一个用户分配操作权限和使用的级别。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人事档案管理</w:t>
            </w:r>
          </w:p>
        </w:tc>
        <w:tc>
          <w:tcPr>
            <w:tcW w:w="6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主要有人员的基本信息管理、培训管理、人员奖罚管理人员进修、实习管理。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88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考勤登记</w:t>
            </w:r>
          </w:p>
        </w:tc>
        <w:tc>
          <w:tcPr>
            <w:tcW w:w="6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主要是对员工的考勤进行登记，便于主任管理科室人员的在岗情况和出勤率情况。</w:t>
            </w:r>
          </w:p>
        </w:tc>
      </w:tr>
    </w:tbl>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1.3.1.6</w:t>
      </w:r>
      <w:r>
        <w:rPr>
          <w:rFonts w:hint="eastAsia" w:ascii="宋体" w:hAnsi="宋体" w:eastAsia="宋体" w:cs="宋体"/>
          <w:sz w:val="24"/>
          <w:szCs w:val="24"/>
        </w:rPr>
        <w:t> 检验微生物管理系统</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微生物系统是专业处理微生物学检验的子系统，完成标本的登记，培养结果输入，细菌鉴定，药敏鉴定，标本阳性率统计，细菌检出率统计，细菌对药敏的耐药性统计，药敏对细菌的耐药性统计等。系统支持专家系统，专家系统根据抗生素的种类，细菌的种类与NCCLS（国际临床实验室标准化委员会）及其他出版的数据信息为药敏结果提供推论性的解释说明。主要功能应包括：</w:t>
      </w:r>
    </w:p>
    <w:tbl>
      <w:tblPr>
        <w:tblW w:w="853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302"/>
        <w:gridCol w:w="62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标本登记</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主要是完成来自门诊或病房的化验申请单的手工登记工作。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标本核收</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通过扫描条码接收病区中合格的标本并自动完成计费，并把不合格的标本退回病区。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微生物结果处理</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手工输入标本培养的阴阳性结果，输入人工鉴定出的细菌菌株和相应的药敏鉴定结果，以及细菌的菌量、两种菌以上个占的百分比，专家提示等的处理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分级报告</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微生物标本在培养过程中的给予分级报告，方便病人及时用药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阴性结果默认成批输入</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对于批量阴性的标本培养结果，根据标本的检查目的和标本类型自动对应相应的阴性的培养结果的描述，有利与大量的体检标本的输入。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标本阳性率</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根据各种条件（如申请科室、病人的就诊类别等）统计标本的阳性检出率报表。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5"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菌种管理</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对微生物质控及菌种进行管理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多重耐药菌</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针对细菌的培养结果，统计多重耐药菌菌株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标本阳性率追踪报告</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根据各种条件（如申请科室、病人的就诊类别等）统计标本的阳性检出率的追踪报告。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细菌检出率统计</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根据各种条件（如申请科室、病人的就诊类别等）统计标本的细菌检出率报表。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细菌发生率追踪报告</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根据各种条件（如申请科室、病人的就诊类别等）统计标本的细菌检出率的追踪报告。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抗生素总耐药性</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根据各种条件（如申请科室、病人的就诊类别等）统计所有实验室所使用的抗生素对检出的细菌总耐药性分析报表。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抗生素耐药性追踪报告</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根据各种条件（如申请科室、病人的就诊类别等）统计所有实验室所使用的抗生素对检出的细菌总耐药性的追踪报告。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选定细菌抗生素耐药性分析</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根据各种条件（如申请科室、病人的就诊类别等）统计选定的细菌对各种抗生素耐药性分析。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选定抗生素细菌耐药性分析</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根据各种条件（如申请科室、病人的就诊类别等）统计选定的抗生素对各种细菌耐药性分析。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耐药率敏感率中介率统计</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统计实验室的抗生素对的检出细菌耐药率敏感率中介率的综合报表。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5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抗生素对比分散图</w:t>
            </w:r>
          </w:p>
        </w:tc>
        <w:tc>
          <w:tcPr>
            <w:tcW w:w="618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统计选定的两种抗生素对一种细菌的耐药性分析的散点图，可以分析抗生素联合使用的效果。</w:t>
            </w:r>
          </w:p>
        </w:tc>
      </w:tr>
    </w:tbl>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1.3.1.7</w:t>
      </w:r>
      <w:r>
        <w:rPr>
          <w:rFonts w:hint="eastAsia" w:ascii="宋体" w:hAnsi="宋体" w:eastAsia="宋体" w:cs="宋体"/>
          <w:sz w:val="24"/>
          <w:szCs w:val="24"/>
        </w:rPr>
        <w:t> 检验条码管理系统</w:t>
      </w:r>
    </w:p>
    <w:p>
      <w:pPr>
        <w:pStyle w:val="6"/>
        <w:keepNext w:val="0"/>
        <w:keepLines w:val="0"/>
        <w:widowControl/>
        <w:suppressLineNumbers w:val="0"/>
        <w:spacing w:before="150" w:beforeAutospacing="0" w:after="150" w:afterAutospacing="0" w:line="435" w:lineRule="atLeast"/>
        <w:ind w:left="0" w:firstLine="480"/>
      </w:pPr>
      <w:r>
        <w:rPr>
          <w:rFonts w:hint="eastAsia" w:ascii="宋体" w:hAnsi="宋体" w:eastAsia="宋体" w:cs="宋体"/>
          <w:sz w:val="24"/>
          <w:szCs w:val="24"/>
        </w:rPr>
        <w:t>本模块提供给医生各种标准组合项目、自定义组合项目和单项目的选择开单，根据医院的一贯的习惯和新的政策可以维护各种标准组合和自定义组合，提高医生的工作效率。在医生给病人开完电子申请单后，可打印检验指引单，病人完成收费后可至门诊采血处采集标本，标本完成检验后医生可以直接通过开单模块查看报告单的结果。对于一些新开展的项目，临床医生通过系统可以查看测试项目的临床意义等信息。</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1.3.1.8</w:t>
      </w:r>
      <w:r>
        <w:rPr>
          <w:rFonts w:hint="eastAsia" w:ascii="宋体" w:hAnsi="宋体" w:eastAsia="宋体" w:cs="宋体"/>
          <w:sz w:val="24"/>
          <w:szCs w:val="24"/>
        </w:rPr>
        <w:t> 门诊采血系统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提供给标本采集的人员执行门诊病人的已经付费的检验医嘱并产生条码，打印条码标签和病人的回执单，病人的回执单上的信息包含病人的基本信息、检验的项目信息、拿报告单的时间和地点等信息。</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1.3.1.9</w:t>
      </w:r>
      <w:r>
        <w:rPr>
          <w:rFonts w:hint="eastAsia" w:ascii="宋体" w:hAnsi="宋体" w:eastAsia="宋体" w:cs="宋体"/>
          <w:sz w:val="24"/>
          <w:szCs w:val="24"/>
        </w:rPr>
        <w:t> 住院检验医嘱执行</w:t>
      </w:r>
    </w:p>
    <w:p>
      <w:pPr>
        <w:pStyle w:val="6"/>
        <w:keepNext w:val="0"/>
        <w:keepLines w:val="0"/>
        <w:widowControl/>
        <w:suppressLineNumbers w:val="0"/>
        <w:spacing w:before="150" w:beforeAutospacing="0" w:after="150" w:afterAutospacing="0" w:line="435" w:lineRule="atLeast"/>
        <w:ind w:left="0" w:firstLine="480"/>
      </w:pPr>
      <w:r>
        <w:rPr>
          <w:rFonts w:hint="eastAsia" w:ascii="宋体" w:hAnsi="宋体" w:eastAsia="宋体" w:cs="宋体"/>
          <w:sz w:val="24"/>
          <w:szCs w:val="24"/>
        </w:rPr>
        <w:t>护士执行医生开立的检验医嘱并产生条码、打印条码标签，护士根据标签上的信息提示（如：试管类型、病人姓名、床号、项目信息等）贴上相应的试管，并可以打印标本采集的清单、标本运送的清单，确定标本采集时间和标本采集人，对于检验科退回的标本系统直接提示，护士可以直接重新打印条码标签，重新采集标本。在确定采集标本时确定收取试管费和抽血费保证收费的准确性。</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1.3.2 合理用血系统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合理用血管理系统主要以血袋编号为主线对血液在医院内的整个生命周期进行跟踪管理，涉及模块包括：输血申请、交叉配血、血液入出库、输血管理、汇总统计等。系统功能应包括：</w:t>
      </w:r>
    </w:p>
    <w:tbl>
      <w:tblPr>
        <w:tblW w:w="851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821"/>
        <w:gridCol w:w="56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05" w:hRule="atLeast"/>
          <w:tblCellSpacing w:w="15" w:type="dxa"/>
        </w:trPr>
        <w:tc>
          <w:tcPr>
            <w:tcW w:w="27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w:t>
            </w:r>
          </w:p>
        </w:tc>
        <w:tc>
          <w:tcPr>
            <w:tcW w:w="565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10" w:hRule="atLeast"/>
          <w:tblCellSpacing w:w="15" w:type="dxa"/>
        </w:trPr>
        <w:tc>
          <w:tcPr>
            <w:tcW w:w="27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临床输血申请</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 </w:t>
            </w:r>
          </w:p>
        </w:tc>
        <w:tc>
          <w:tcPr>
            <w:tcW w:w="565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1常规输血申请前先进行输血前评估；2申请单自动获取病人信息；3申请单能自动获取检查检验结果；4对常规输血进行分级管理；5输血知情同意书的自动管理等内容。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30" w:hRule="atLeast"/>
          <w:tblCellSpacing w:w="15" w:type="dxa"/>
        </w:trPr>
        <w:tc>
          <w:tcPr>
            <w:tcW w:w="27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审证用血管理</w:t>
            </w:r>
          </w:p>
        </w:tc>
        <w:tc>
          <w:tcPr>
            <w:tcW w:w="565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记录审证用血量与品种，查询和统计病人的审证用量。对审证量小于用血量的病人进行警示。当审证量不足时，自动提醒医生。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680" w:hRule="atLeast"/>
          <w:tblCellSpacing w:w="15" w:type="dxa"/>
        </w:trPr>
        <w:tc>
          <w:tcPr>
            <w:tcW w:w="27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输血申请单（输血医嘱）执行</w:t>
            </w:r>
          </w:p>
        </w:tc>
        <w:tc>
          <w:tcPr>
            <w:tcW w:w="565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复核和执行医嘱，对需要配血的病人，打印配血条码等，配血血样的采集管理。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27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交叉配血</w:t>
            </w:r>
          </w:p>
        </w:tc>
        <w:tc>
          <w:tcPr>
            <w:tcW w:w="565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显示患者的历史的检测信息，累计用血量；配血检测结果自动从仪器中获取，打印交叉配血单等，查询交叉配血信息。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35" w:hRule="atLeast"/>
          <w:tblCellSpacing w:w="15" w:type="dxa"/>
        </w:trPr>
        <w:tc>
          <w:tcPr>
            <w:tcW w:w="27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取血和发血管理</w:t>
            </w:r>
          </w:p>
        </w:tc>
        <w:tc>
          <w:tcPr>
            <w:tcW w:w="565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实现电子化的取血和发血。取血信息自动发送到护士站和医生站。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27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输血过程管理</w:t>
            </w:r>
          </w:p>
        </w:tc>
        <w:tc>
          <w:tcPr>
            <w:tcW w:w="565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使用PDA现场记录或完成后进行输血过程记录.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5" w:hRule="atLeast"/>
          <w:tblCellSpacing w:w="15" w:type="dxa"/>
        </w:trPr>
        <w:tc>
          <w:tcPr>
            <w:tcW w:w="27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血液入库</w:t>
            </w:r>
          </w:p>
        </w:tc>
        <w:tc>
          <w:tcPr>
            <w:tcW w:w="565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将中心血站送到医院的血制品进行入库登记。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27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监控和预警</w:t>
            </w:r>
          </w:p>
        </w:tc>
        <w:tc>
          <w:tcPr>
            <w:tcW w:w="565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血液有效期预警/库存量预警/血库需备血预警/标本流转监控 /血袋流转监控/拟输血患者监控/不良反应患者监控等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505" w:hRule="atLeast"/>
          <w:tblCellSpacing w:w="15" w:type="dxa"/>
        </w:trPr>
        <w:tc>
          <w:tcPr>
            <w:tcW w:w="27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血液库存管理</w:t>
            </w:r>
          </w:p>
        </w:tc>
        <w:tc>
          <w:tcPr>
            <w:tcW w:w="565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血库库存查询，可根据血液成分、血液来源、血型、制备日期、有效期等进行查询</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血液失效登记：血库管理者对超过保存期的血制品进行登记。</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对入库的血制品进行汇总登记。</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入库血制品的明细报表。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20" w:hRule="atLeast"/>
          <w:tblCellSpacing w:w="15" w:type="dxa"/>
        </w:trPr>
        <w:tc>
          <w:tcPr>
            <w:tcW w:w="27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统计分析</w:t>
            </w:r>
          </w:p>
        </w:tc>
        <w:tc>
          <w:tcPr>
            <w:tcW w:w="565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临床病人的用血登记表。</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临床病人用血明细记录。</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临床病人用血的汇总报表。</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用血情况跟踪</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血型分布(在院及手术病人)</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人均手术用血量</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年手术增长与用血增长</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各种病手术用血量（各种手术用血量）</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统计查询发血至用血时长，配血血样送达时长，发血血液送达时长</w:t>
            </w:r>
          </w:p>
        </w:tc>
      </w:tr>
    </w:tbl>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1.3.3 PACS系统</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1.3.3.1</w:t>
      </w:r>
      <w:r>
        <w:rPr>
          <w:rFonts w:hint="eastAsia" w:ascii="宋体" w:hAnsi="宋体" w:eastAsia="宋体" w:cs="宋体"/>
          <w:sz w:val="24"/>
          <w:szCs w:val="24"/>
        </w:rPr>
        <w:t> PACS服务器系统</w:t>
      </w:r>
    </w:p>
    <w:tbl>
      <w:tblPr>
        <w:tblW w:w="846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采用ORACLE或SQL SERVER主流数据库。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可以使用windows、Linux、Unix等主流操作系统。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1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存储格式遵循DICOM3.0标准：具有常见DICOM影像的存储功能；具有DICOM结构化报告SR的存储功能、具有DICOM留痕信息GSPS的存储功能；具有DICOM Store服务；具有DICOM Worklist服务；具有DICOM PPSM服务；具有DICOM Query/Retrieve服务。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9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提供DICOM3.0 的SOP Class：Patient Root Find/Move、Study Root Find/Move，可允许多个客户端工作站同时根据患者姓名、检查设备、检查部位、影像号、检查时间日期等多种查询条件的组合形式查询与调阅影像，并提供查询影像调阅前的缩略图预览功能。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可以同时接受多个不同影像设备发送的数据，所有设备影像直接发送到服务器，不经过其他工作站中转，病人所有影像可以集中阅片。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具有影像预取和影像自动路由功能。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可以采用集中式数据库储存管理机制，使用快速定位算法，直接定位影像存储位置，数据库中无需记录图像索引信息。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安全日志：提供影像数据的各种状态记录日志（影像修改、删除、存档、影像调阅、影像传输），并提供相应分析工具。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具有符合JPG、JPEG2000标准压缩功能；具有有损压缩（LOSSY）和无损压缩（LOSSLESS）两种常见格式压缩功能。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具有系统安全账户管理：用户和密码管理，可以配置系统级/用户组级/用户级不同的账户管理。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具有日志管理：可以设置日志的记录级别。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系统管理员权限由服务器统一管理，并发控制。只要拥有权限，可以从任意终端登陆，管理系统。</w:t>
            </w:r>
          </w:p>
        </w:tc>
      </w:tr>
    </w:tbl>
    <w:p>
      <w:pPr>
        <w:pStyle w:val="5"/>
        <w:keepNext w:val="0"/>
        <w:keepLines w:val="0"/>
        <w:widowControl/>
        <w:suppressLineNumbers w:val="0"/>
        <w:spacing w:before="60" w:beforeAutospacing="0" w:after="6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1.3.3.2</w:t>
      </w:r>
      <w:r>
        <w:rPr>
          <w:rFonts w:hint="eastAsia" w:ascii="宋体" w:hAnsi="宋体" w:eastAsia="宋体" w:cs="宋体"/>
          <w:sz w:val="24"/>
          <w:szCs w:val="24"/>
        </w:rPr>
        <w:t> 影像工作站系统</w:t>
      </w:r>
    </w:p>
    <w:tbl>
      <w:tblPr>
        <w:tblW w:w="846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软件功能：平面旋转、翻转、无极缩放、放大镜、影像移动漫游、伪彩处理、边缘提取、图像复制、支持按部位默认的窗宽、窗位或存储时设定的窗宽、窗位显示、ROI自动窗宽、窗位调节、同时显示多幅图像时，可以独立调整各幅图像的窗宽、窗位。</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系统允许用户自定义窗宽、窗位组合，并可方便选择、显示双窗宽/窗位、平滑、锐化处理、对比度翻转、伸展、补偿、图像标注、图像头信息查看、长度、面积计算显示，角度测量，椭圆测量，角度测量，距离测量，图形标注，箭头标志，图像文字标注、ROI平均密度值测量、心胸比测量、DICOM DIR光盘读取、多帧DICOM图像循环播放;序列DICOM影像动态回放。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每个工作站免费提供影像2D/3D重建处理：常规提供如MPR(正交多平面重建)、fMPR(任意多平面重建)、MIP(最大密度重建)、VR(容积重建)等2D/3D影像重建处理功能。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系统支持按检查类型相关的显示设置自动安排显示布局，支持按用户可选择和可定义的显示设置调整显示布局。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9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影像比较：同时调阅一个病人或多个患者不同诊断序列、不同时期影像对比显示以帮助诊断。对于相同检查的CT影像序列可自动对齐后自动逐层比较，对于不同检查的CT影像序列(复查、随访等)可手动对齐后自动逐层比较，尤其适用于反复多次复查的结核患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恢复原始图像显示功能。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MR和CT图像定位线显示、导航。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同一窗口内多序列图像多定位线交叉引用。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关键图像标记和显示。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支持多屏设置显示。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支持丰富的影像打印排版模式：同一个病人不同检查影像拼图打印；不同病人的相同/不同检查影像拼图打印。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可导入各种非DICOM格式影像(BMP/JPEG/TIF)执行浏览和操作。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可将DICOM影像帧及影像序列导出为BMP/JPEG/TIF格式或AVI视频格式。</w:t>
            </w:r>
          </w:p>
        </w:tc>
      </w:tr>
    </w:tbl>
    <w:p>
      <w:pPr>
        <w:pStyle w:val="5"/>
        <w:keepNext w:val="0"/>
        <w:keepLines w:val="0"/>
        <w:widowControl/>
        <w:suppressLineNumbers w:val="0"/>
        <w:spacing w:before="60" w:beforeAutospacing="0" w:after="6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1.3.3.3</w:t>
      </w:r>
      <w:r>
        <w:rPr>
          <w:rFonts w:hint="eastAsia" w:ascii="宋体" w:hAnsi="宋体" w:eastAsia="宋体" w:cs="宋体"/>
          <w:sz w:val="24"/>
          <w:szCs w:val="24"/>
        </w:rPr>
        <w:t> 影像高级处理系统</w:t>
      </w:r>
    </w:p>
    <w:tbl>
      <w:tblPr>
        <w:tblW w:w="846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每个工作站免费提供影像2D/3D重建处理：常规提供如MPR(正交多平面重建)、fMPR(任意多平面重建)、MIP(最大密度重建)、VR(容积重建)等2D/3D影像重建处理功能。</w:t>
            </w:r>
          </w:p>
        </w:tc>
      </w:tr>
    </w:tbl>
    <w:p>
      <w:pPr>
        <w:pStyle w:val="5"/>
        <w:keepNext w:val="0"/>
        <w:keepLines w:val="0"/>
        <w:widowControl/>
        <w:suppressLineNumbers w:val="0"/>
        <w:spacing w:before="60" w:beforeAutospacing="0" w:after="6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1.3.3.4</w:t>
      </w:r>
      <w:r>
        <w:rPr>
          <w:rFonts w:hint="eastAsia" w:ascii="宋体" w:hAnsi="宋体" w:eastAsia="宋体" w:cs="宋体"/>
          <w:sz w:val="24"/>
          <w:szCs w:val="24"/>
        </w:rPr>
        <w:t> WebPACS</w:t>
      </w:r>
    </w:p>
    <w:tbl>
      <w:tblPr>
        <w:tblW w:w="845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948"/>
        <w:gridCol w:w="65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90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功能类</w:t>
            </w:r>
          </w:p>
        </w:tc>
        <w:tc>
          <w:tcPr>
            <w:tcW w:w="64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705" w:hRule="atLeast"/>
          <w:tblCellSpacing w:w="15" w:type="dxa"/>
        </w:trPr>
        <w:tc>
          <w:tcPr>
            <w:tcW w:w="1903"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支持DOCOM标准</w:t>
            </w:r>
          </w:p>
        </w:tc>
        <w:tc>
          <w:tcPr>
            <w:tcW w:w="6466"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支持DICOM标准2011年版定义的全部影像IOD类型的调阅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350" w:hRule="atLeast"/>
          <w:tblCellSpacing w:w="15" w:type="dxa"/>
        </w:trPr>
        <w:tc>
          <w:tcPr>
            <w:tcW w:w="1903"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DICOM影像压缩</w:t>
            </w:r>
          </w:p>
        </w:tc>
        <w:tc>
          <w:tcPr>
            <w:tcW w:w="6466"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支持DICOM标准定义的无损压缩算法</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支持DICOM标准定义的有损压缩算法</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用户可自行设置和选择影像压缩率(压缩质量)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830" w:hRule="atLeast"/>
          <w:tblCellSpacing w:w="15" w:type="dxa"/>
        </w:trPr>
        <w:tc>
          <w:tcPr>
            <w:tcW w:w="1903"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影像在线存储管理</w:t>
            </w:r>
          </w:p>
        </w:tc>
        <w:tc>
          <w:tcPr>
            <w:tcW w:w="6466"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支持任意间期的影像在线存储管理</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支持采用磁盘阵列、RAID-5容错的在线影像管理架构</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支持在线存储影像自动维护管理</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支持影像在线存储容量动态扩展能力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705" w:hRule="atLeast"/>
          <w:tblCellSpacing w:w="15" w:type="dxa"/>
        </w:trPr>
        <w:tc>
          <w:tcPr>
            <w:tcW w:w="1903"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系统安全管理</w:t>
            </w:r>
          </w:p>
        </w:tc>
        <w:tc>
          <w:tcPr>
            <w:tcW w:w="6466"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DICOM通讯的注册及授权访问机制，拒绝任务非授权用户的DICOM访问操作。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9855" w:hRule="atLeast"/>
          <w:tblCellSpacing w:w="15" w:type="dxa"/>
        </w:trPr>
        <w:tc>
          <w:tcPr>
            <w:tcW w:w="1903"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WebView主要的影像操作功能及参数指标</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 </w:t>
            </w:r>
          </w:p>
        </w:tc>
        <w:tc>
          <w:tcPr>
            <w:tcW w:w="6466"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直接读取和显示、处理各类DICOM影像</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支持CT/MR/CR/DR/DSA/RF以及超声和核医学DICOM影像等浏览</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执行原始DICOM影像或(有损/无损)压缩后DICOM影像的读取和显示、处理</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影像浏览终端操作DICOM格式影像实现影像浏览任务，因此可以真正地实现诸如窗宽/窗位以及CT值测量这类医学影像特有的属性的操作。</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提供多参数查询、分类查询、时间间期查询等影像查询操作</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DICOM影像Header信息浏览</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影像反转</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影像镜像显示</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影像旋转</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影像多级缩小、放大</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影像单帧、多帧显示</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影像动态播放(可自定义或动态调节播放速度)</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窗宽/窗位实时调节</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角度、长度以及不同形状ROI面积/周长/密度或CT值测量</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任意形面积/周长测量</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任意图形、文字标注功能(可动态调节字体/颜色)</w:t>
            </w:r>
          </w:p>
        </w:tc>
      </w:tr>
    </w:tbl>
    <w:p>
      <w:pPr>
        <w:pStyle w:val="5"/>
        <w:keepNext w:val="0"/>
        <w:keepLines w:val="0"/>
        <w:widowControl/>
        <w:suppressLineNumbers w:val="0"/>
        <w:spacing w:before="60" w:beforeAutospacing="0" w:after="6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1.3.4 放射科管理系统</w:t>
      </w:r>
    </w:p>
    <w:tbl>
      <w:tblPr>
        <w:tblW w:w="846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5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支持DICOM worklist服务；针对配置DICOM Modality Worklist服务的影像设备，实现worklist功能，优化工作流程，提高效率。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支持多个预约队列，能够方便地在不同队列间切换，对已经安排的预约提供改约和取消预约功能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预约和检查注意事项能够反馈给申请医生和科室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可定制的影像号分配策略，可统一分配，也可按设备分配。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1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多种病人信息/申请单信息录入方式(包括病人的基本信息及申请单信息)：包括手工录入、条形码识别、HIS/EMR获取、磁卡读取等。同时支持通过扫描仪、数码相机等方式将申请单输入到计算机,保存临床申请信息，并与患者信息、影像对应存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支持集中登记、分部门登记两种登记方式；能够进行多部位的同时登记分诊。能够进行退登记、患者查询操作。可进行病人复诊登记，对重复登记项目内容自行预设与维护。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支持绿色通道处理机制，可以在特殊紧急状况完成病人的紧急登记注册和检查，检查完成后自动和手动执行病人信息的匹配、校正和合并操作。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自动查询并使用（或不使用）复诊病人过去检查信息，使用其检查序号，并记录其检查频次。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支持多媒体查询功能，病人可通过一卡通、条码、及ID号等进行个人诊断状态查询。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可按多种方式进行全科信息资料检索、查询及统计如统计阴性率阳性率、工作量、检查次数、部位、住院病人、外院病人、平诊病人、急诊病人、病人性别、年龄段等。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分级用户权限管理；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支持排队叫号系统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可进行病人复诊登记、对重复登记项目内容自行预设与维护；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对不同类型检查的收费可自行预设及维护，并自动进行计算显示；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内置诊断报告模板生成、编辑及管理机制。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可以将当前报告直接存为报告模板。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提供查询前级医师报告和既往检查报告能力。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可直接调用当前报告患者检查申请单内容。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提供从报告界面直接执行报告打印预览能力。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提供报告界面直接执行报告打印输出能力。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可与PACS影像工作站软件流程集成和数据通讯，执行图文一体化诊断报告构建和输出；在诊断报告过程启动时，自动触发和激活影像终端侧同步执行当前患者影像序列查询、自动装载和浏览过程。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可自动查询并获取当前患者检查的影像在线状态(IHE，Image Availability)，为医师第一时间启动患者软拷贝诊断操作提供基础。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报告编辑书写过程支持对电子申请单的浏览。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支持急诊病人报告由写报告的医生自审核功能，强制将除急诊以外的所有影像检查报告提交审核。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支持阅读审核后的报告的功能，提供与审核前报告的对比功能或在阅读已审核报告时提示审核修改前的内容（修改痕迹保留）。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支持打印审核后的报告和重打功能。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支持各种形式的病人、报告、影像资料、临床诊断、影像诊断等查询或组合查询。可以对报告描述、诊断结果中的词句进行模糊查询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根据医生权限不同，每台诊断工作站均可以做报告审核，取决于医生的权限。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提供使用过程中的安全管理机制。</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1.3.5 内窥镜管理系统</w:t>
      </w:r>
    </w:p>
    <w:tbl>
      <w:tblPr>
        <w:tblW w:w="846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支持十二指肠镜、膀胱镜、鼻咽喉镜、妇科腹腔镜、宫腔镜、结肠镜、胃镜、腹腔镜、支气管镜等设备。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1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在编写报告时，可显示患者历史资料及历史影像，以供对照报告编写调用，报告中对当前已选择的影像可以单独进行文字说明，并可由用户自行选择体位标记。编写报告操作简单，采用一个界面即可完成编写报告工作，操作流程序符合内窥镜诊断流程。提供丰富的范本，用户可以自行添加修改范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图像采集可实时显示设备传过来的图像，可一键式采集，采集的图像可以供报告系统调用可导出至其它存储设备。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支持动态采集，动态回放，动态图像回放提取功能。</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1.3.6 超声管理系统</w:t>
      </w:r>
    </w:p>
    <w:tbl>
      <w:tblPr>
        <w:tblW w:w="846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1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多种病人信息/申请单信息录入方式(包括病人的基本信息及申请单信息)：包括手工录入、条形码识别、HIS/EMR获取、磁卡读取等。同时支持通过扫描仪、数码相机等方式将申请单输入到计算机,保存临床申请信息，并与患者信息、影像对应存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支持自动叫号排队系统。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支持检查预约/取消，登记/取消。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支持预约单/检查单打印，可打印条码；检查单/预约单可以按检查类型和检查项目自由配置格式和内容。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支持急诊、门诊、住院、体检等各种病人类型的登记，并支持优先级设置。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支持DICOM方式采集超声影像。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支持非DICOM影像设备的图像采集，并可转换为DICOM标准格式。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支持超声影像动态采集及录像结果（AVI）回放。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支持在动态回放过程中采集单帧影像。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支持图像导入、导出功能，支持BMP/JPG格式。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可以前台采集和后台采集图像，特殊患者可以先进行图像采集，把图像保存在工作站上，可以集中的把急诊患者图像采集下来。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所见及所得报告编写方式，丰富的模板库，科室医生可以结合自己的习惯把诊断用语分为公有和私有模板。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超声诊断工作站可以看到此患者的放射报告和图像资料。可以提取到临床的医嘱，检验的结果等。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历史诊断报告列表功能，医生可随时查看当前病人的所有历史检查信息和历史诊断报告。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提供医学的特殊字符、疾病报告模版。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支持为诊断报告设置疾病分类关键词。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报告单样式管理功能，可以随意设置多种格式的报告单样式。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支持将典型报告内容保存为教学用报告的功能。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可通过检查号、姓名（模糊查询）、年龄（岁、月、天）、性别、设备明细、检查状态、检查时间组合查询。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可以通过病人的类型（住院、门诊、体检）以及编号、检查部位、检查项目、申请科室、报告医生、审核医生、是否急诊等组合查询。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可以对报告描述、诊断结果中的词句进行模糊查询。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支持诊断结论查询，并可将查询结果导出到EXCEL作进一步统计打印。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锁定系统，保证在用户暂时离开时，系统不被非法使用。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常用信息项目维护，添加/修改/删除检查设备、职业、收费类型、检查科室、民族、患者来源、检查医生等信息项目。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诊断语句维护，添加/修改/删除诊断模板、诊断词条；对诊断词条的显示进行排序。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提供数据备份，可导出当前系统配置信息、患者检查信息、采集的图像信息，进行数据备份，防止硬盘损坏、病毒破坏、操作系统崩溃等意外造成的数据丢失。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提供数据恢复，在意外发生时，恢复备份的系统配置信息、患者检查信息、采集的图像信息，保证系统数据和患者数据不丢失。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加载患者历史检查报告和图像。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可在所见即所得的图文报告书写页面上进行患者基本信息的登记。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可以在打印报告时选择打印机、进行打印参数调整、 指 定报告打印份数以及打印报告的特定页（多页报告）。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可以对诊断模板树进行自定义的分层结构。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0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可以设置诊断内容的字体样式包括大小、颜色、粗细等。</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1.3.7 心电管理系统</w:t>
      </w:r>
    </w:p>
    <w:tbl>
      <w:tblPr>
        <w:tblW w:w="8473"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50"/>
        <w:gridCol w:w="1738"/>
        <w:gridCol w:w="58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80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Fonts w:hint="eastAsia" w:ascii="宋体" w:hAnsi="宋体" w:eastAsia="宋体" w:cs="宋体"/>
                <w:sz w:val="24"/>
                <w:szCs w:val="24"/>
                <w:bdr w:val="none" w:color="auto" w:sz="0" w:space="0"/>
              </w:rPr>
              <w:t>序号</w:t>
            </w:r>
          </w:p>
        </w:tc>
        <w:tc>
          <w:tcPr>
            <w:tcW w:w="1708"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Fonts w:hint="eastAsia" w:ascii="宋体" w:hAnsi="宋体" w:eastAsia="宋体" w:cs="宋体"/>
                <w:sz w:val="24"/>
                <w:szCs w:val="24"/>
                <w:bdr w:val="none" w:color="auto" w:sz="0" w:space="0"/>
              </w:rPr>
              <w:t>功能类</w:t>
            </w:r>
          </w:p>
        </w:tc>
        <w:tc>
          <w:tcPr>
            <w:tcW w:w="584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80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Fonts w:hint="eastAsia" w:ascii="宋体" w:hAnsi="宋体" w:eastAsia="宋体" w:cs="宋体"/>
                <w:sz w:val="24"/>
                <w:szCs w:val="24"/>
                <w:bdr w:val="none" w:color="auto" w:sz="0" w:space="0"/>
              </w:rPr>
              <w:t>1．</w:t>
            </w:r>
          </w:p>
        </w:tc>
        <w:tc>
          <w:tcPr>
            <w:tcW w:w="1708" w:type="dxa"/>
            <w:vMerge w:val="restart"/>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预约登记</w:t>
            </w:r>
          </w:p>
        </w:tc>
        <w:tc>
          <w:tcPr>
            <w:tcW w:w="584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用于门诊心电图检查。提取门诊医生站检查申请信息进行预约安排，实现分诊。系统支持检查病人基本信息的HIS自动获取，支持HL7标准的集成技术，中间数据库的集成技术，DICOM标准的集成技术。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80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Fonts w:hint="eastAsia" w:ascii="宋体" w:hAnsi="宋体" w:eastAsia="宋体" w:cs="宋体"/>
                <w:sz w:val="24"/>
                <w:szCs w:val="24"/>
                <w:bdr w:val="none" w:color="auto" w:sz="0" w:space="0"/>
              </w:rPr>
              <w:t>2．</w:t>
            </w:r>
          </w:p>
        </w:tc>
        <w:tc>
          <w:tcPr>
            <w:tcW w:w="1708" w:type="dxa"/>
            <w:vMerge w:val="continue"/>
            <w:tcBorders>
              <w:top w:val="nil"/>
              <w:left w:val="nil"/>
              <w:bottom w:val="nil"/>
              <w:right w:val="nil"/>
            </w:tcBorders>
            <w:shd w:val="clear" w:color="auto" w:fill="FFFFFF"/>
            <w:tcMar>
              <w:top w:w="75" w:type="dxa"/>
              <w:left w:w="75" w:type="dxa"/>
              <w:bottom w:w="75" w:type="dxa"/>
              <w:right w:w="75" w:type="dxa"/>
            </w:tcMar>
            <w:vAlign w:val="top"/>
          </w:tcPr>
          <w:p>
            <w:pPr>
              <w:rPr>
                <w:rFonts w:hint="eastAsia" w:ascii="宋体"/>
                <w:sz w:val="24"/>
                <w:szCs w:val="24"/>
              </w:rPr>
            </w:pPr>
          </w:p>
        </w:tc>
        <w:tc>
          <w:tcPr>
            <w:tcW w:w="584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支持临床、门诊医生工作站、体检工作站电子申请单下达。自动检索识别已检查过的病历，减少患者信息的重复登记及文字录入，实时显示检查科室工作状态，方便安排患者检查。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40" w:hRule="atLeast"/>
          <w:tblCellSpacing w:w="15" w:type="dxa"/>
        </w:trPr>
        <w:tc>
          <w:tcPr>
            <w:tcW w:w="80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Fonts w:hint="eastAsia" w:ascii="宋体" w:hAnsi="宋体" w:eastAsia="宋体" w:cs="宋体"/>
                <w:sz w:val="24"/>
                <w:szCs w:val="24"/>
                <w:bdr w:val="none" w:color="auto" w:sz="0" w:space="0"/>
              </w:rPr>
              <w:t>3．</w:t>
            </w:r>
          </w:p>
        </w:tc>
        <w:tc>
          <w:tcPr>
            <w:tcW w:w="1708" w:type="dxa"/>
            <w:vMerge w:val="continue"/>
            <w:tcBorders>
              <w:top w:val="nil"/>
              <w:left w:val="nil"/>
              <w:bottom w:val="nil"/>
              <w:right w:val="nil"/>
            </w:tcBorders>
            <w:shd w:val="clear" w:color="auto" w:fill="FFFFFF"/>
            <w:tcMar>
              <w:top w:w="75" w:type="dxa"/>
              <w:left w:w="75" w:type="dxa"/>
              <w:bottom w:w="75" w:type="dxa"/>
              <w:right w:w="75" w:type="dxa"/>
            </w:tcMar>
            <w:vAlign w:val="top"/>
          </w:tcPr>
          <w:p>
            <w:pPr>
              <w:rPr>
                <w:rFonts w:hint="eastAsia" w:ascii="宋体"/>
                <w:sz w:val="24"/>
                <w:szCs w:val="24"/>
              </w:rPr>
            </w:pPr>
          </w:p>
        </w:tc>
        <w:tc>
          <w:tcPr>
            <w:tcW w:w="584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能够直接从HIS系统获得病人ID、基本信息、交费信息、诊断信息、检查要求等。在数据库中建立病人唯一ID，方便管理。自动产生发放心电图病人检查号，可提供集中登记、分部门登记两种登记方式。预约登记列表中显示不同颜色来区分患者当前的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10" w:hRule="atLeast"/>
          <w:tblCellSpacing w:w="15" w:type="dxa"/>
        </w:trPr>
        <w:tc>
          <w:tcPr>
            <w:tcW w:w="80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Fonts w:hint="eastAsia" w:ascii="宋体" w:hAnsi="宋体" w:eastAsia="宋体" w:cs="宋体"/>
                <w:sz w:val="24"/>
                <w:szCs w:val="24"/>
                <w:bdr w:val="none" w:color="auto" w:sz="0" w:space="0"/>
              </w:rPr>
              <w:t>4．</w:t>
            </w:r>
          </w:p>
        </w:tc>
        <w:tc>
          <w:tcPr>
            <w:tcW w:w="1708" w:type="dxa"/>
            <w:vMerge w:val="restart"/>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静态心电数据采集存储</w:t>
            </w:r>
          </w:p>
        </w:tc>
        <w:tc>
          <w:tcPr>
            <w:tcW w:w="584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包括门诊、急诊、住院、体检、体检中心等部门心电图机联机数据采集。技师根据不同的申请单选择不同的检查。患者开始做检查的时候，患者的信息会自动调入，通过接收患者的预约单，就可以提取患者的预约信息，然后开始为患者做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805" w:type="dxa"/>
            <w:vMerge w:val="restart"/>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Fonts w:hint="eastAsia" w:ascii="宋体" w:hAnsi="宋体" w:eastAsia="宋体" w:cs="宋体"/>
                <w:sz w:val="24"/>
                <w:szCs w:val="24"/>
                <w:bdr w:val="none" w:color="auto" w:sz="0" w:space="0"/>
              </w:rPr>
              <w:t>5．</w:t>
            </w:r>
          </w:p>
        </w:tc>
        <w:tc>
          <w:tcPr>
            <w:tcW w:w="1708" w:type="dxa"/>
            <w:vMerge w:val="continue"/>
            <w:tcBorders>
              <w:top w:val="nil"/>
              <w:left w:val="nil"/>
              <w:bottom w:val="nil"/>
              <w:right w:val="nil"/>
            </w:tcBorders>
            <w:shd w:val="clear" w:color="auto" w:fill="FFFFFF"/>
            <w:tcMar>
              <w:top w:w="75" w:type="dxa"/>
              <w:left w:w="75" w:type="dxa"/>
              <w:bottom w:w="75" w:type="dxa"/>
              <w:right w:w="75" w:type="dxa"/>
            </w:tcMar>
            <w:vAlign w:val="top"/>
          </w:tcPr>
          <w:p>
            <w:pPr>
              <w:rPr>
                <w:rFonts w:hint="eastAsia" w:ascii="宋体"/>
                <w:sz w:val="24"/>
                <w:szCs w:val="24"/>
              </w:rPr>
            </w:pPr>
          </w:p>
        </w:tc>
        <w:tc>
          <w:tcPr>
            <w:tcW w:w="584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技师或护士在操作心电设备为患者检查时，系统会自动填充病人的检查信息，显示出结果来。支持WORKLIST，支持扫描条码腕带。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55" w:hRule="atLeast"/>
          <w:tblCellSpacing w:w="15" w:type="dxa"/>
        </w:trPr>
        <w:tc>
          <w:tcPr>
            <w:tcW w:w="805" w:type="dxa"/>
            <w:vMerge w:val="continue"/>
            <w:tcBorders>
              <w:top w:val="nil"/>
              <w:left w:val="nil"/>
              <w:bottom w:val="nil"/>
              <w:right w:val="nil"/>
            </w:tcBorders>
            <w:shd w:val="clear" w:color="auto" w:fill="FFFFFF"/>
            <w:tcMar>
              <w:top w:w="75" w:type="dxa"/>
              <w:left w:w="75" w:type="dxa"/>
              <w:bottom w:w="75" w:type="dxa"/>
              <w:right w:w="75" w:type="dxa"/>
            </w:tcMar>
            <w:vAlign w:val="top"/>
          </w:tcPr>
          <w:p>
            <w:pPr>
              <w:rPr>
                <w:rFonts w:hint="eastAsia" w:ascii="宋体"/>
                <w:sz w:val="24"/>
                <w:szCs w:val="24"/>
              </w:rPr>
            </w:pPr>
          </w:p>
        </w:tc>
        <w:tc>
          <w:tcPr>
            <w:tcW w:w="1708" w:type="dxa"/>
            <w:vMerge w:val="continue"/>
            <w:tcBorders>
              <w:top w:val="nil"/>
              <w:left w:val="nil"/>
              <w:bottom w:val="nil"/>
              <w:right w:val="nil"/>
            </w:tcBorders>
            <w:shd w:val="clear" w:color="auto" w:fill="FFFFFF"/>
            <w:tcMar>
              <w:top w:w="75" w:type="dxa"/>
              <w:left w:w="75" w:type="dxa"/>
              <w:bottom w:w="75" w:type="dxa"/>
              <w:right w:w="75" w:type="dxa"/>
            </w:tcMar>
            <w:vAlign w:val="top"/>
          </w:tcPr>
          <w:p>
            <w:pPr>
              <w:rPr>
                <w:rFonts w:hint="eastAsia" w:ascii="宋体"/>
                <w:sz w:val="24"/>
                <w:szCs w:val="24"/>
              </w:rPr>
            </w:pPr>
          </w:p>
        </w:tc>
        <w:tc>
          <w:tcPr>
            <w:tcW w:w="584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系统应该解决医院现有的数字口设备，兼容各种品  牌心电图机的接入；系统应该支持接收同步12导联，15-16导联、18导联静息心电图数据并存储，编辑；常规心电以HL7-aECG格式保存，能够转换为MFER,CDA,PDF,DICOM中的至少两项国际标准。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055" w:hRule="atLeast"/>
          <w:tblCellSpacing w:w="15" w:type="dxa"/>
        </w:trPr>
        <w:tc>
          <w:tcPr>
            <w:tcW w:w="80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Fonts w:hint="eastAsia" w:ascii="宋体" w:hAnsi="宋体" w:eastAsia="宋体" w:cs="宋体"/>
                <w:sz w:val="24"/>
                <w:szCs w:val="24"/>
                <w:bdr w:val="none" w:color="auto" w:sz="0" w:space="0"/>
              </w:rPr>
              <w:t>6．</w:t>
            </w:r>
          </w:p>
        </w:tc>
        <w:tc>
          <w:tcPr>
            <w:tcW w:w="1708"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专业统计查询</w:t>
            </w:r>
          </w:p>
        </w:tc>
        <w:tc>
          <w:tcPr>
            <w:tcW w:w="584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该系统可以设立多种查询条件，支持模糊查询，并可进行统计。统计结果包括工作量、费用，消耗等。具体分为患者信息查询，仪器使用统计，工作量费用统计，阳性查询，低值查询，数据范围查询等，使心电图的各种分类、心电图的查询、调阅和统计都变得方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055" w:hRule="atLeast"/>
          <w:tblCellSpacing w:w="15" w:type="dxa"/>
        </w:trPr>
        <w:tc>
          <w:tcPr>
            <w:tcW w:w="80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Fonts w:hint="eastAsia" w:ascii="宋体" w:hAnsi="宋体" w:eastAsia="宋体" w:cs="宋体"/>
                <w:sz w:val="24"/>
                <w:szCs w:val="24"/>
                <w:bdr w:val="none" w:color="auto" w:sz="0" w:space="0"/>
              </w:rPr>
              <w:t>7．</w:t>
            </w:r>
          </w:p>
        </w:tc>
        <w:tc>
          <w:tcPr>
            <w:tcW w:w="1708"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管理功能</w:t>
            </w:r>
          </w:p>
        </w:tc>
        <w:tc>
          <w:tcPr>
            <w:tcW w:w="584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科室配置，医生、护士、技师等用户的角色权限管理，工作量统计等。提供集中的用户及权限管理程序，通过系统管理员为用户授权，不同权限管理不同的内容。提供用户分组机制，用于简化用户授权。提供用户访问日志功能，对访问过的数据以及特殊的操作进行记录，并提供记录查看和检索手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80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Fonts w:hint="eastAsia" w:ascii="宋体" w:hAnsi="宋体" w:eastAsia="宋体" w:cs="宋体"/>
                <w:sz w:val="24"/>
                <w:szCs w:val="24"/>
                <w:bdr w:val="none" w:color="auto" w:sz="0" w:space="0"/>
              </w:rPr>
              <w:t>8．</w:t>
            </w:r>
          </w:p>
        </w:tc>
        <w:tc>
          <w:tcPr>
            <w:tcW w:w="1708"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数据安全</w:t>
            </w:r>
          </w:p>
        </w:tc>
        <w:tc>
          <w:tcPr>
            <w:tcW w:w="584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支持数据修正，显示数据的审计、修改的痕迹。支持数据离线保存、恢复。支持单机版运行，保证异常情况下的数据恢复。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10" w:hRule="atLeast"/>
          <w:tblCellSpacing w:w="15" w:type="dxa"/>
        </w:trPr>
        <w:tc>
          <w:tcPr>
            <w:tcW w:w="80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Fonts w:hint="eastAsia" w:ascii="宋体" w:hAnsi="宋体" w:eastAsia="宋体" w:cs="宋体"/>
                <w:sz w:val="24"/>
                <w:szCs w:val="24"/>
                <w:bdr w:val="none" w:color="auto" w:sz="0" w:space="0"/>
              </w:rPr>
              <w:t>9．</w:t>
            </w:r>
          </w:p>
        </w:tc>
        <w:tc>
          <w:tcPr>
            <w:tcW w:w="1708"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用户安全</w:t>
            </w:r>
          </w:p>
        </w:tc>
        <w:tc>
          <w:tcPr>
            <w:tcW w:w="584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集中的用户及权限管理程序，通过系统管理员为用户授权，不同权限管理不同的内容。提供用户分组机制，用于简化用户授权。提供用户访问日志功能，对访问过的数据以及特殊的操作进行记录，并提供记录查看和检索手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070" w:hRule="atLeast"/>
          <w:tblCellSpacing w:w="15" w:type="dxa"/>
        </w:trPr>
        <w:tc>
          <w:tcPr>
            <w:tcW w:w="80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Fonts w:hint="eastAsia" w:ascii="宋体" w:hAnsi="宋体" w:eastAsia="宋体" w:cs="宋体"/>
                <w:sz w:val="24"/>
                <w:szCs w:val="24"/>
                <w:bdr w:val="none" w:color="auto" w:sz="0" w:space="0"/>
              </w:rPr>
              <w:t>10．</w:t>
            </w:r>
          </w:p>
        </w:tc>
        <w:tc>
          <w:tcPr>
            <w:tcW w:w="1708"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危急值管理</w:t>
            </w:r>
          </w:p>
        </w:tc>
        <w:tc>
          <w:tcPr>
            <w:tcW w:w="584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系统中具有危急值处理流程 ，演示在待诊断列表中，标明该待检查病人为危急；通过即时消息，在待诊断队列中提示，当前诊断组中的医生都可以优先处理该检查； 通过系统配置，给科室主任发送短信，短信中可以包括该检查的波形及自动诊断的结论。科主任可以通过智能终端查看波形。</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1.3.8 病理管理系统</w:t>
      </w:r>
    </w:p>
    <w:tbl>
      <w:tblPr>
        <w:tblW w:w="8293"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31"/>
        <w:gridCol w:w="2196"/>
        <w:gridCol w:w="52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25" w:hRule="atLeast"/>
          <w:tblCellSpacing w:w="15" w:type="dxa"/>
        </w:trPr>
        <w:tc>
          <w:tcPr>
            <w:tcW w:w="78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序号</w:t>
            </w:r>
          </w:p>
        </w:tc>
        <w:tc>
          <w:tcPr>
            <w:tcW w:w="21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功能类</w:t>
            </w:r>
          </w:p>
        </w:tc>
        <w:tc>
          <w:tcPr>
            <w:tcW w:w="522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010" w:hRule="atLeast"/>
          <w:tblCellSpacing w:w="15" w:type="dxa"/>
        </w:trPr>
        <w:tc>
          <w:tcPr>
            <w:tcW w:w="786"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pPr>
            <w:r>
              <w:rPr>
                <w:rFonts w:hint="eastAsia" w:ascii="宋体" w:hAnsi="宋体" w:eastAsia="宋体" w:cs="宋体"/>
                <w:sz w:val="24"/>
                <w:szCs w:val="24"/>
                <w:bdr w:val="none" w:color="auto" w:sz="0" w:space="0"/>
              </w:rPr>
              <w:t>1</w:t>
            </w:r>
          </w:p>
        </w:tc>
        <w:tc>
          <w:tcPr>
            <w:tcW w:w="2166"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登记取材工作站</w:t>
            </w:r>
          </w:p>
        </w:tc>
        <w:tc>
          <w:tcPr>
            <w:tcW w:w="5221"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通过条码扫描读入电子申请单信息。</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接收临床发送的申请单、本地申请单发入、系统自动提示所有已登记但尚未取决材的病例列表或是有补取要求的病例列表。</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记账收费及查询，病理结果查询。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440" w:hRule="atLeast"/>
          <w:tblCellSpacing w:w="15" w:type="dxa"/>
        </w:trPr>
        <w:tc>
          <w:tcPr>
            <w:tcW w:w="786"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pPr>
            <w:r>
              <w:rPr>
                <w:rFonts w:hint="eastAsia" w:ascii="宋体" w:hAnsi="宋体" w:eastAsia="宋体" w:cs="宋体"/>
                <w:sz w:val="24"/>
                <w:szCs w:val="24"/>
                <w:bdr w:val="none" w:color="auto" w:sz="0" w:space="0"/>
              </w:rPr>
              <w:t>2</w:t>
            </w:r>
          </w:p>
        </w:tc>
        <w:tc>
          <w:tcPr>
            <w:tcW w:w="2166"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大体取材工作站</w:t>
            </w:r>
          </w:p>
        </w:tc>
        <w:tc>
          <w:tcPr>
            <w:tcW w:w="5221"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系统在取材时记录取材时间、取材医生、取材人员信息；取材时能采集大体标本图像、拍摄大体标本照片，并能对照取材的实际操作过程进行标注测量工作（图像标识）；</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条形码打印及切片工作表管理功能；可进行取材明细记录，包括“蜡块编号”、“组织名  称”、“材块数量”等内容，系统自动计算蜡块总数的材块总数；</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有“附言”记录，包括“用完”、“脱钙”、“保留”等内容，并能输入剩余标本的存放位置，可让临床医生了解到病例的“已取材”状态和取材医生的信息。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330" w:hRule="atLeast"/>
          <w:tblCellSpacing w:w="15" w:type="dxa"/>
        </w:trPr>
        <w:tc>
          <w:tcPr>
            <w:tcW w:w="786"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pPr>
            <w:r>
              <w:rPr>
                <w:rFonts w:hint="eastAsia" w:ascii="宋体" w:hAnsi="宋体" w:eastAsia="宋体" w:cs="宋体"/>
                <w:sz w:val="24"/>
                <w:szCs w:val="24"/>
                <w:bdr w:val="none" w:color="auto" w:sz="0" w:space="0"/>
              </w:rPr>
              <w:t>3</w:t>
            </w:r>
          </w:p>
        </w:tc>
        <w:tc>
          <w:tcPr>
            <w:tcW w:w="2166"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技术组工作站</w:t>
            </w:r>
          </w:p>
        </w:tc>
        <w:tc>
          <w:tcPr>
            <w:tcW w:w="5221"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系统自动提示所有已包埋但尚未制成切片的病人列表、重切和深切病例列表。</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重切、深切、免役组化及特染等列表。</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按照取材时录入的取材明细情况自动生成切片条码标签列表，用户可以根据需要选择手工调整。</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生成切片工作清单（切片数、编号）与医生组交接记录。</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记录包埋、切片时间及操作员信息。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2750" w:hRule="atLeast"/>
          <w:tblCellSpacing w:w="15" w:type="dxa"/>
        </w:trPr>
        <w:tc>
          <w:tcPr>
            <w:tcW w:w="786"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pPr>
            <w:r>
              <w:rPr>
                <w:rFonts w:hint="eastAsia" w:ascii="宋体" w:hAnsi="宋体" w:eastAsia="宋体" w:cs="宋体"/>
                <w:sz w:val="24"/>
                <w:szCs w:val="24"/>
                <w:bdr w:val="none" w:color="auto" w:sz="0" w:space="0"/>
              </w:rPr>
              <w:t>4</w:t>
            </w:r>
          </w:p>
        </w:tc>
        <w:tc>
          <w:tcPr>
            <w:tcW w:w="2166"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诊断工作站</w:t>
            </w:r>
          </w:p>
        </w:tc>
        <w:tc>
          <w:tcPr>
            <w:tcW w:w="5221"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具有完善的用户权限管理功能，能在充分考虑报告信息安全性的基础上以诊断报告环节进行科学规划。报告格式有病理组织学、细胞学、免疫组化、特殊染色、普通细胞学、妇科液基细胞学、非妇科细胞学、尸检等多种预设和报告格式，并能自定义调整。</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通过切片条码读入申请单信息。</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病理报告模式分为初检及主检模式，主检医生有权修改初检诊断信息。</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自动显示大体检查记录及影像信息、大体检查、镜下描述及病理诊断模板。</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自动生成图文报告（大体图像/描述及镜下图像/描述），应提供便于修改诉报告格式（模板），应能方便地在预览打印窗口中对报告内容不得（文字大小、颜色、内容、排版格式等）进行修改。</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支持数字签名的实施及安全性保证。</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可提交重取材、补切片、深切、免疫组化及特殊检查申请。</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自动提示既往病理检查信息。</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能根据要求生成缓发报告、并记录缓发报告原因。</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具备各级医生的操作权限控制，能保证登录的安全保证，具有定时无操作自动注销以及系统日志管理等安全措施。</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选择病理并打开后，系统自动提示该病例的内部医嘱状态、报告状态、打印状态、收藏状态，以及同名病人的其他检查：采集图像、输入光镜所见、诊断意见、生成报告、打印或向临床发送报告单；上级医生可以对病理诊断提出修改意见，并单独保存下来，供原报告医生查看；在用户权限范围内可对报告进行审核和取消审核管理，审核后的病例无法被除数修改和删除。</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1.3.9 临床手麻系统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临床手术麻醉系统主要应实现包括以下功能：</w:t>
      </w:r>
    </w:p>
    <w:tbl>
      <w:tblPr>
        <w:tblW w:w="851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242"/>
        <w:gridCol w:w="62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功能类别</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手术申请</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手动录入手术申请信息：病人基本信息、手术内容、手术时间、手术医生等信息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手术申请信息接收</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连接医院信息系统HIS中的手术申请与安排系统，获取手术申请及安排信息，自动接收，生成手术申请记录。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68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手术安排</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能够对已接收的手术通知单进行手术台编排。确定每台手术的手术时间、手术房间、台次。</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能够确定每台手术的上台手术医生、麻醉医生、护士。</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能够打印手术安排报表。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手术通知</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统计并打印 指 定日期的手术汇总信息、能够支持通知区大屏显示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695"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术前访视</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麻醉医生术前访视记录</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方便输入:提供模板功能,方便填写,提高输入速度</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能够自动提取HIS，LIS，PACS等系统体征、检验检查数据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护理信息</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能够对术前、术中、术后护理信息记录，提供手工输入、模板输入多种方式，方便操作。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器械管理</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能够手术过程中器械管理，，按照术前器械准备，术中器械添加，术后器械清分类操作。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1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仪器数据自动接收</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自动采集监护仪、麻醉机等床边监护设备中病人血压、心率、血氧、体温、脉搏等生命体征参数。记录麻醉手术期间所有体征趋势，统一存储于服务器。实时显示麻醉记录单。对于伪差情况可以进行数据修正。自定义设置监控参数即麻醉病人的生命体征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42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术中麻醉记录</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1、将自动采集的病人生命体征参数以趋势表格和趋势图形的形式表现出来，数据显示时间间隔可以人为设定。</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2、对于自动描绘的趋势图，在权限允许的情况下，医生可以对其进行修正，修正的过程有记录可查。</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3、人工录入术中给药、输血输液、术中事件、实验室检验信息，录入过程方便快捷，符合麻醉医生手记麻醉单的习惯。</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4、麻醉单上的项目可人工定制，包括：麻醉相关参数、生命体征参数趋势，趋势曲线的颜色、图例，显示的药品、及其位置，特殊的给药、事件所使的图例，对于连续药物输注以及输液有剂量、速度、起止点记录。</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5、麻醉总结的内容可以在手术进行期间随时录入并保存。</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6、实时形成麻醉单和麻醉总结报告，并联网打印输出各种各样的麻醉、护理医疗文书，如：术前访视记录</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复苏记录单、麻醉镇痛单、麻醉总结单等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麻醉复苏室处理</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记录复苏室的各种事件和护理信息，自动接收体征监护数据，生成单独麻醉复苏记录单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麻醉复苏评分</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对复苏病人进行Steward评分，提供复苏病人评分情况统计表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85"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麻醉总结</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能够提供麻醉总结记录，按照医院的要求定制符合要求的麻醉总结记录单</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提供模板输入、手工输入多种方式、方便操作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7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麻醉收费</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手术计费及各种耗材计费支持自动生成、手工录入、模板录入等多种方式，药品计费可满足根据麻醉记录单自动记录及手工录入两种方式。</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术后随访</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提供麻醉术后随访记录，根据实际要求，可记录多次书后随访记录，可定制麻醉随访记录单，提供模板输入、手工输入多种记录方式。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术后镇痛</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可针对手术病人，进行术后镇痛，提供模板输入方式、方便操作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病案打印</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集中打印病人手术后的各种病案文书：麻醉记录、访视记录、麻醉总结单、医嘱单、随访记录等等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病案提交</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提交病人病案，将该手术记录设置成完成状态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手术取消</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能够取消手术申请，提供取消原因输入，可查询，统计手术取消记录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70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系统查询</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ind w:left="0" w:firstLine="405"/>
            </w:pPr>
            <w:r>
              <w:rPr>
                <w:rFonts w:hint="eastAsia" w:ascii="宋体" w:hAnsi="宋体" w:eastAsia="宋体" w:cs="宋体"/>
                <w:sz w:val="24"/>
                <w:szCs w:val="24"/>
                <w:bdr w:val="none" w:color="auto" w:sz="0" w:space="0"/>
              </w:rPr>
              <w:t>在手术室内，麻醉医生、手术室护士可以根据给出条件检索到所需的病例。</w:t>
            </w:r>
          </w:p>
          <w:p>
            <w:pPr>
              <w:pStyle w:val="6"/>
              <w:keepNext w:val="0"/>
              <w:keepLines w:val="0"/>
              <w:widowControl/>
              <w:suppressLineNumbers w:val="0"/>
              <w:spacing w:before="0" w:beforeAutospacing="0" w:after="150" w:afterAutospacing="0" w:line="300" w:lineRule="atLeast"/>
              <w:ind w:left="0" w:firstLine="405"/>
            </w:pPr>
            <w:r>
              <w:rPr>
                <w:rFonts w:hint="eastAsia" w:ascii="宋体" w:hAnsi="宋体" w:eastAsia="宋体" w:cs="宋体"/>
                <w:sz w:val="24"/>
                <w:szCs w:val="24"/>
                <w:bdr w:val="none" w:color="auto" w:sz="0" w:space="0"/>
              </w:rPr>
              <w:t>对调出的病例可以查看到病人围术期的所有信息，可以打印围术期报告（术前访视、麻醉单、护理记录单、麻醉总结）。</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3、使用者可以在线调出检索结果中的病人围术期病例，查看其围术期的全部信息。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235"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系统统计</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1、使用者在权限允许的情况下，可以使用统计报表功能。</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2、使用者自行定义统计时间段和选择报表类型：麻醉医生工作量，手术医生工作量，手术室护士工作量，按麻醉ASA等级统计的报表，分科别统计的报表、麻醉复苏统计报表，镇痛信息统计报表。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危重病人评分</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提供危重病人进行各种专业评分，有：TISS、APACHE2、CG等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科室排班</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科室领导对科室人员的排班处理，医护人员可以在系统内查看到排班情况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麻醉SOP文档</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麻醉科室SOP文档管理，医护人员可以查阅相关文档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医嘱查询</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可在线查询手术病人在院医嘱情况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检验报告</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可在线查询手术病人检验报告查询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检查申请处理</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可在手术期间，进行手术病人检验申请处理、标本采集记录，条码打印（已经有检验条码系统的情况下）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EMR查询</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可在线查询手术病人病历信息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费用清单</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提供查询病人科室所发生的费用清单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219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退费处理</w:t>
            </w:r>
          </w:p>
        </w:tc>
        <w:tc>
          <w:tcPr>
            <w:tcW w:w="623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提供对病人在手术期间所产生费用、药品进行退回处理</w:t>
            </w:r>
          </w:p>
        </w:tc>
      </w:tr>
    </w:tbl>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1.3.10 重症监护管理系统</w:t>
      </w:r>
    </w:p>
    <w:tbl>
      <w:tblPr>
        <w:tblW w:w="854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90"/>
        <w:gridCol w:w="1849"/>
        <w:gridCol w:w="58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序号</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功能名</w:t>
            </w:r>
            <w:r>
              <w:rPr>
                <w:rFonts w:hint="eastAsia" w:ascii="宋体" w:hAnsi="宋体" w:eastAsia="宋体" w:cs="宋体"/>
                <w:sz w:val="24"/>
                <w:szCs w:val="24"/>
                <w:bdr w:val="none" w:color="auto" w:sz="0" w:space="0"/>
              </w:rPr>
              <w:t> </w:t>
            </w:r>
            <w:r>
              <w:rPr>
                <w:rStyle w:val="8"/>
                <w:rFonts w:hint="eastAsia" w:ascii="宋体" w:hAnsi="宋体" w:eastAsia="宋体" w:cs="宋体"/>
                <w:sz w:val="24"/>
                <w:szCs w:val="24"/>
                <w:bdr w:val="none" w:color="auto" w:sz="0" w:space="0"/>
              </w:rPr>
              <w:t> 称</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1</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病人转入</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提供监护病人转入登记，通过病人病案号,确保于HIS信息的统一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2</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病人转床、转出</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能够对监护病人转床、转出记录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055"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3</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仪器数据自动接收</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自动采集监护仪等床边监护设备中病人血压、心率、血氧、体温、脉搏等生命体征参数。记录监护期间所有体征趋势，统一存储于服务器。实时监护记录单。对于伪差情况可以进行数据修正。自定义设置监控参数即监护病人的生命体征参数和监护频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4</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护理信息记录</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可分类记录病人监护期间多种护理情况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40"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5</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抢救记录</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可记录病人危重情况，以及相应的处理内容。</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可通过模板方式快速完成，方便操作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355"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6</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中央监护</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可实现远程、集中、实时的观测病人的体征（血压、血氧、心率、呼吸等）监护情况情况。</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可根据实际情况，同时监护多个（单个、两个、四个）病人。</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并且，能够将各种体征数据存储到数据库中，可查询回顾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7</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危症病人评分</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提供危重病人进行各种专业评分，有：TISS、APACHE2、CG等多种方法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8</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血液流动力计算</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提供病人血液流动力计算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9</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液体出入量记录</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提供病人监护期间液体出入量情况记录， 并能根据实际出入量记录数据，进行出入量平衡计算，获取液体平衡结果。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10</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排班处理</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可对科室人员的排班处理，医护人员可以在线查看排班情况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11</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护理工作量</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提供护理工作量统计报表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12</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监护病人体征记录单</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提供病人监护期间体征监护记录单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95"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13</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液体出入量记录单</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提供病人监护室液体出入量汇总记录单</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14</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抢救记录统计</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统计监护室危重病人抢救记录情况报表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84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15</w:t>
            </w:r>
          </w:p>
        </w:tc>
        <w:tc>
          <w:tcPr>
            <w:tcW w:w="18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监护预警处理</w:t>
            </w:r>
          </w:p>
        </w:tc>
        <w:tc>
          <w:tcPr>
            <w:tcW w:w="5765"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可以设置报警规则，当有符合规则数据时，系统自动报警</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1.3.11 门诊、医技排队叫号系统</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1.3.11.1</w:t>
      </w:r>
      <w:r>
        <w:rPr>
          <w:rFonts w:hint="eastAsia" w:ascii="宋体" w:hAnsi="宋体" w:eastAsia="宋体" w:cs="宋体"/>
          <w:sz w:val="24"/>
          <w:szCs w:val="24"/>
        </w:rPr>
        <w:t> 门诊排队叫号系统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门诊排队叫号系统应能实现通过各科室的门诊护士站，并与大屏幕相连，用来管理本科室排队叫号。针对医院病人在就诊过程中会出现复诊、病人选医生、被叫病人不在等特殊情况就诊以及在病人要退号、弃号等不确定情况下，为了使排队叫号系统更科学、更有效的管理而设 计的可由护士人工干预排队顺序。系统的主要功能应包括：</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队列管理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队列信息包括排队人数、排队号、姓名、科室、医生、排队开始时间、等待时间、状态等。系统对病人进行分配、转发、插队、放弃、暂停等操作，支持队列顺序调整。支持定时自动刷新队列，可设置刷新时间。</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队列转换（转科）</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在某种特殊下，如临下班前，某科还有很多病人，可以把该科的病人转移到相近的科室就诊。</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病人选医生（分配医生）</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当病人要求选择医生时，护士在系统上的已就诊队列中找到该病人的信息，然后在该病人信息的医生栏选上要选的医生，系统能自动将该病人转到由他选择的医生处就诊。</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医生呼叫</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医生根据自己登陆的就诊队列，对队列中患者进行呼叫、暂停、患者解锁等处理，能够看到队列的排队信息。</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批量呼叫</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护士可以一次性从候诊队列中叫入多名患者进入医生待诊序列中，方便医生叫入下一位操作。</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屏幕输出</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显示屏用来展示队列信息和被呼叫的患者信息，向等候的患者给出就诊提示，系统应支持LED同步屏输出和异步屏输出，也支持终端电视机显示输出。</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查询统计</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插队记录查询、历史队列查询、屏幕显示查询；提供按队列和医生进行排队统计，包括合计人数，平均等待时间，平均就诊时间和平均在院时间；提供查询分配，转发，放弃，取消等多类型的队列调整记录，包括调整日期，排队号，姓名，起始队列，目的队列等信息。</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1.3.11.2</w:t>
      </w:r>
      <w:r>
        <w:rPr>
          <w:rFonts w:hint="eastAsia" w:ascii="宋体" w:hAnsi="宋体" w:eastAsia="宋体" w:cs="宋体"/>
          <w:sz w:val="24"/>
          <w:szCs w:val="24"/>
        </w:rPr>
        <w:t> 医技排队叫号系统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医技排队叫号系统是安装在医技护士站，护士通过操作系统来完成候诊区的排队叫号，使候诊区形成有一个有序，舒适的就诊环境。主要功能应包括：</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队列管理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队列信息包括排队人数、排队号、姓名、检查项目、排队开始时间、等待时间、状态等。系统对病人进行分配、转发、插队、放弃、暂停等。</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取号登记</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患者可通过在取号机刷就诊卡或直接刷医技检查单条码进入队列候诊，同时机器打印排队号凭证。</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医生呼叫</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医生根据自己登陆的检查队列，对队列中患者进行呼叫、暂停、患者解锁等处理，能够看到队列的排队信息。</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批量呼叫</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护士可以一次性从候诊队列中叫入多名患者进入医生待诊序列中，方便医生叫入下一位操作。</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屏幕输出</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显示屏用来展示队列信息和被呼叫的患者信息，向等候的患者给出就诊提示，系统应支持LED同步屏输出和异步屏输出，也支持终端电视机显示输出。</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查询统计</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插队记录查询、历史队列查询、屏幕显示查询；提供按队列和医生进行排队统计，包括合计人数，平均等待时间，平检查诊时间和平均在院时间；提供查询分配，转发，放弃，取消等多类型的队列调整记录，包括调整日期，排队号，姓名，起始队列，目的队列等信息。</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3"/>
        <w:keepNext w:val="0"/>
        <w:keepLines w:val="0"/>
        <w:widowControl/>
        <w:suppressLineNumbers w:val="0"/>
        <w:spacing w:before="300" w:beforeAutospacing="0" w:after="150" w:afterAutospacing="0"/>
      </w:pPr>
      <w:r>
        <w:rPr>
          <w:rFonts w:hint="eastAsia" w:ascii="宋体" w:hAnsi="宋体" w:eastAsia="宋体" w:cs="宋体"/>
          <w:sz w:val="24"/>
          <w:szCs w:val="24"/>
        </w:rPr>
        <w:t>1.4 管理系统</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1.4.1 中/西药库管理系统</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中/西药库系统应围绕“金额管理、数量统计、实耗实销”的管理目标，尹提供包括药品的入库，出库，调价，帐务处理，计划编制，药品质量控制等业务功能，并能对其进行综合的统计分析与查询。系统主要功能应包括：</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入库处理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该功能主要包括入库单处理及库房验收、财务验收子功能、付款处理、采购历史查询等功能。记账标准有进货价格，批发价格，零售价格三种方式供选择。</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出库处理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对药品进行出库处理（科室领用、盘亏等），药房退回药库药品的出库处理，出库方式的汇总、科室消耗的汇总等功能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调价处理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调价主要包括调价处理、调价历史、调价差额汇总三个子功能，调价方式有：国家调价、企业调价、进货调价；调价支持实时调价和定时调价；调价后将药品信息和药库、药房在库药品价格进行调整。</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采购计划</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根据药库实际情况进行采购计划的制定，包括计划编制、计划审批、计划执行、计划评估四个子功能。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库存管理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处理药库药品的养护、盘点，药品养护包括按库位与类别对药品进行养护。药品的盘点支持ABC分类法，随机抽样法两种盘点方法。</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月结处理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统计药库所有药品当月的结存数量与结存金额，将本月结存作为下一月的上月结存，下一月的发生金额从零开始。</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综合查询</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提供各药库与全院药品库存查询，以及采购历史、会计账簿、保管员账簿、财务月报、收发存表、采购销售分析、失效药品查询、基本药物统计、特殊药品统计、抗生素统计等统计查询功能。支持财务账和实物账的分开处理，对应账簿分别为会计账簿与保管员账簿。</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系统维护</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药品信息可维护自选产地，特殊人群用药以及用药限制，药品政策等，药品政策可手动添加，政策可维护其限制条件（提醒和控制）。此外，药库、账簿、剂型类别，生产厂家，供货单位，药库、库位编码等均可维护。</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1.4.2 院内感染管理系统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医院感染管理系统应满足疑似病历筛查，病历上报，病历补报等功能，支持目标监测、环境卫生学监测统计分析等功能。</w:t>
      </w:r>
    </w:p>
    <w:p>
      <w:pPr>
        <w:pStyle w:val="6"/>
        <w:keepNext w:val="0"/>
        <w:keepLines w:val="0"/>
        <w:widowControl/>
        <w:suppressLineNumbers w:val="0"/>
        <w:spacing w:before="0" w:beforeAutospacing="0" w:after="150" w:afterAutospacing="0"/>
        <w:ind w:left="0" w:firstLine="480"/>
      </w:pPr>
      <w:r>
        <w:rPr>
          <w:rFonts w:hint="eastAsia" w:ascii="宋体" w:hAnsi="宋体" w:eastAsia="宋体" w:cs="宋体"/>
          <w:sz w:val="24"/>
          <w:szCs w:val="24"/>
        </w:rPr>
        <w:t>●感控在线交流平台</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系统需提供即时的医院感染在线交流功能，分为院感科端和医生端，并集成消息提醒功能，实现在线及时干预（在线交流、文件发送等）和反馈处理效果。</w:t>
      </w:r>
    </w:p>
    <w:p>
      <w:pPr>
        <w:pStyle w:val="6"/>
        <w:keepNext w:val="0"/>
        <w:keepLines w:val="0"/>
        <w:widowControl/>
        <w:suppressLineNumbers w:val="0"/>
        <w:spacing w:before="0" w:beforeAutospacing="0" w:after="150" w:afterAutospacing="0"/>
        <w:ind w:left="0" w:firstLine="480"/>
      </w:pPr>
      <w:r>
        <w:rPr>
          <w:rFonts w:hint="eastAsia" w:ascii="宋体" w:hAnsi="宋体" w:eastAsia="宋体" w:cs="宋体"/>
          <w:sz w:val="24"/>
          <w:szCs w:val="24"/>
        </w:rPr>
        <w:t>●嵌入式报卡</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住院医生站中应该实现直接报卡及对已报卡的查询功能，报卡信息包括医院感染报告卡、传染病报告卡、职业暴露填报、污水处理报卡（检验）、环境卫生学报卡填报（检验）及现患率调查表填报等。</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●患者诊疗视图</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应提供统一的患者完整诊疗过程信息的查阅功能，需集成病人基本信息、综合摘要、手术、体温及诊断信息、药品及诊疗医嘱、病程记录、检验结果、影像检查结果、出入科、干预及历史院感记录等，方便专职人员查看完整的病人诊疗全过程信息。</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●感染病例接收管理</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系统需能自动接收、集中管理临床医生填报的医院感染病例报告卡、医院ICU感染病例报告卡、医院新生儿感染病例报告卡，并有自动消息提醒，供院感专职人员及时审核。</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●院感暴发预警</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要求具有实时监控全院院感动态，可以根据不同感染指标所设置的预警阀值，实现暴发流行的实时预警功能，并应具备对全院抗菌药物各项指标超标实时预警功能，还应具备对细菌耐药率超过标准值实时预警功能，并予以消息提醒。</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●疑似传染病筛选</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系统应遵循卫生计生委的医院感染诊断标准，需具备定义感染病例筛查规则，实现实时自动筛查，并可以通过在线平台反馈筛查结果和干预措施。</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●疑似病例自主搜索</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系统需提供自由设置疑似感染病例条件的功能，并实现以此条件为基础对病例进行主动筛选，对疑似感染病例进行重点排查。</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●现患率调查与管理</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系统需提供嵌入式现患率登记表，并能自动进行信息汇总，具备全院现患率的统计分析功能。</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●院感病例监测</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需能对全院病人进行医院感染监测，对已确认医院感染病例进行统计分析，并出具统计报表，统计项目包含：按科室统计感染率、感染病原体按科室统计、感染病原体构成比、感染部位构成比、感染与抗菌药物敏感情况及感染同期对比。</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●抗菌药物使用监测</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系统应能够自动从临床业务系统中识别全部住院科室每天的抗菌药物使用情况，根据卫生部的要求自动分析出各种指标，自动出具相关报表。</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●细菌耐药性监测</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系统应可以直接从检验业务系统中统计出全院所有的病原菌耐药情况，监测病情变化导致的耐药性，以及具备对临床发现的多重耐药病例进行实时督导的功能。</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●外科手术感染监测</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系统应能从业务系统中识别全院所有的外科手术病例，并进行侵袭性操作医院感染监测，计算各种操作分类感染率。监测数据内容需包括 “手术名  称（代码）、手术持续时间、切口等级、ASA 评分、失血量、输血量、切口愈合情况、抗菌药物使用情况、手术部位感染情况”等。</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●ICU/NICU感染监测</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应依据《医院感染监测规范》，能够自动从业务系统中识别全院ICU/NICU病例，生成日志并进行侵袭性操作的医院感染监测，计算各类相关感染率，包括病人日感染（例次）率、调整日感染（例次）率等，新生儿监测数据还应包括“出生体重、Apgar 评分、进入/转出新生儿病房日期”等。</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●职业暴露监测</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需实现对全院级医务人员针刺伤、锐器伤及血液、体液等职业暴露情况的填报和管理功能，实现报告卡填报、院感科评估干预、治疗方案跟踪（多次）、结论等功能，同时应支持不同角度的职业暴露情况统计。</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●环境卫生学监测</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系统应能对各临床和功能科室的环境卫生进行监测，并将监测数据作为后续数据分析和统计报表的数据来源，院感科可以给出整改意见。监测需包括消毒卫生学监测、一次性物品监测、污水监测三大块内容。</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●传染病监测</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系统需包含传染病嵌入式报卡，临床医生上报后，系统能自动汇总传染病报告卡，并出具传染病报告登记表，需开放导出表格功能，利于临床追踪和数据上报。</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●等级评审院感指标监测</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系统应依据三级医院等级评审中对医院感染指标控制的要求，实现在院感系统中对血管导管、呼吸机、留置导尿管和手术相关医院感染等指标的监测功能。</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●医院感染数据上报</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应该支持院感数据以信息汇总表的形式导出功能，辅助健全完善的区域性院感上报体系，服务于“医院→地市质控中心→省质控中心→卫生计生委”全流程，数据需包括：医院感染病例报告卡、现患率调查个案登记表、传染病例报告卡等。</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●统计分析</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系统需提供强大的统计分析功能，并应提供丰富的院感监测数据的统计分析报表，为数据的直观展现和院感辅助决策分析奠定基础。</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●医院感染与微生物接口</w:t>
      </w:r>
    </w:p>
    <w:p>
      <w:pPr>
        <w:pStyle w:val="6"/>
        <w:keepNext w:val="0"/>
        <w:keepLines w:val="0"/>
        <w:widowControl/>
        <w:suppressLineNumbers w:val="0"/>
        <w:spacing w:before="0" w:beforeAutospacing="0" w:after="150" w:afterAutospacing="0" w:line="300" w:lineRule="atLeast"/>
        <w:ind w:left="0" w:right="0" w:firstLine="480"/>
      </w:pPr>
      <w:r>
        <w:rPr>
          <w:rFonts w:hint="eastAsia" w:ascii="宋体" w:hAnsi="宋体" w:eastAsia="宋体" w:cs="宋体"/>
          <w:sz w:val="24"/>
          <w:szCs w:val="24"/>
        </w:rPr>
        <w:t>预留院感与微生物系统的接口，以便直接获取数据。</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1.4.3 疾病报卡管理系统</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（1）嵌入式报卡</w:t>
      </w:r>
    </w:p>
    <w:p>
      <w:pPr>
        <w:pStyle w:val="6"/>
        <w:keepNext w:val="0"/>
        <w:keepLines w:val="0"/>
        <w:widowControl/>
        <w:suppressLineNumbers w:val="0"/>
        <w:spacing w:before="0" w:beforeAutospacing="0" w:after="150" w:afterAutospacing="0" w:line="300" w:lineRule="atLeast"/>
        <w:ind w:left="105" w:firstLine="480"/>
      </w:pPr>
      <w:r>
        <w:rPr>
          <w:rFonts w:hint="eastAsia" w:ascii="宋体" w:hAnsi="宋体" w:eastAsia="宋体" w:cs="宋体"/>
          <w:sz w:val="24"/>
          <w:szCs w:val="24"/>
        </w:rPr>
        <w:t>系统需提供嵌入式报卡，并与诊断、病人信息有效结合，需满足以下功能：</w:t>
      </w:r>
    </w:p>
    <w:p>
      <w:pPr>
        <w:pStyle w:val="6"/>
        <w:keepNext w:val="0"/>
        <w:keepLines w:val="0"/>
        <w:widowControl/>
        <w:suppressLineNumbers w:val="0"/>
        <w:spacing w:before="0" w:beforeAutospacing="0" w:after="105" w:afterAutospacing="0"/>
        <w:ind w:left="420"/>
      </w:pPr>
      <w:r>
        <w:rPr>
          <w:rFonts w:hint="eastAsia" w:ascii="宋体" w:hAnsi="宋体" w:eastAsia="宋体" w:cs="宋体"/>
          <w:sz w:val="24"/>
          <w:szCs w:val="24"/>
        </w:rPr>
        <w:t>●提供依据国家规范绘制的电子化疫病报卡；</w:t>
      </w:r>
    </w:p>
    <w:p>
      <w:pPr>
        <w:pStyle w:val="6"/>
        <w:keepNext w:val="0"/>
        <w:keepLines w:val="0"/>
        <w:widowControl/>
        <w:suppressLineNumbers w:val="0"/>
        <w:spacing w:before="105" w:beforeAutospacing="0" w:after="105" w:afterAutospacing="0"/>
        <w:ind w:left="420"/>
      </w:pPr>
      <w:r>
        <w:rPr>
          <w:rFonts w:hint="eastAsia" w:ascii="宋体" w:hAnsi="宋体" w:eastAsia="宋体" w:cs="宋体"/>
          <w:sz w:val="24"/>
          <w:szCs w:val="24"/>
        </w:rPr>
        <w:t>●有效地嵌入临床业务系统中，方便医生及时报卡，包含门急诊医生工作站、住院医生工作站、实验室管理信息系统等；</w:t>
      </w:r>
    </w:p>
    <w:p>
      <w:pPr>
        <w:pStyle w:val="6"/>
        <w:keepNext w:val="0"/>
        <w:keepLines w:val="0"/>
        <w:widowControl/>
        <w:suppressLineNumbers w:val="0"/>
        <w:spacing w:before="105" w:beforeAutospacing="0" w:after="105" w:afterAutospacing="0"/>
        <w:ind w:left="420"/>
      </w:pPr>
      <w:r>
        <w:rPr>
          <w:rFonts w:hint="eastAsia" w:ascii="宋体" w:hAnsi="宋体" w:eastAsia="宋体" w:cs="宋体"/>
          <w:sz w:val="24"/>
          <w:szCs w:val="24"/>
        </w:rPr>
        <w:t>●支持报卡与疾病诊断的关联控制，实现诊断录入的同时能触发报卡；</w:t>
      </w:r>
    </w:p>
    <w:p>
      <w:pPr>
        <w:pStyle w:val="6"/>
        <w:keepNext w:val="0"/>
        <w:keepLines w:val="0"/>
        <w:widowControl/>
        <w:suppressLineNumbers w:val="0"/>
        <w:spacing w:before="105" w:beforeAutospacing="0" w:after="105" w:afterAutospacing="0"/>
        <w:ind w:left="420"/>
      </w:pPr>
      <w:r>
        <w:rPr>
          <w:rFonts w:hint="eastAsia" w:ascii="宋体" w:hAnsi="宋体" w:eastAsia="宋体" w:cs="宋体"/>
          <w:sz w:val="24"/>
          <w:szCs w:val="24"/>
        </w:rPr>
        <w:t>●支持病人信息的自动获取；</w:t>
      </w:r>
    </w:p>
    <w:p>
      <w:pPr>
        <w:pStyle w:val="6"/>
        <w:keepNext w:val="0"/>
        <w:keepLines w:val="0"/>
        <w:widowControl/>
        <w:suppressLineNumbers w:val="0"/>
        <w:spacing w:before="105" w:beforeAutospacing="0" w:after="105" w:afterAutospacing="0"/>
        <w:ind w:left="420"/>
      </w:pPr>
      <w:r>
        <w:rPr>
          <w:rFonts w:hint="eastAsia" w:ascii="宋体" w:hAnsi="宋体" w:eastAsia="宋体" w:cs="宋体"/>
          <w:sz w:val="24"/>
          <w:szCs w:val="24"/>
        </w:rPr>
        <w:t>●支持报卡项目内容通过点选方式选择，减少手动负担；</w:t>
      </w:r>
    </w:p>
    <w:p>
      <w:pPr>
        <w:pStyle w:val="6"/>
        <w:keepNext w:val="0"/>
        <w:keepLines w:val="0"/>
        <w:widowControl/>
        <w:suppressLineNumbers w:val="0"/>
        <w:spacing w:before="105" w:beforeAutospacing="0" w:after="105" w:afterAutospacing="0"/>
        <w:ind w:left="420"/>
      </w:pPr>
      <w:r>
        <w:rPr>
          <w:rFonts w:hint="eastAsia" w:ascii="宋体" w:hAnsi="宋体" w:eastAsia="宋体" w:cs="宋体"/>
          <w:sz w:val="24"/>
          <w:szCs w:val="24"/>
        </w:rPr>
        <w:t>●支持报卡必填项提醒及项目之间的逻辑控制，如死亡日期不能早于发病日期。</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（2）报卡综合管理</w:t>
      </w:r>
    </w:p>
    <w:p>
      <w:pPr>
        <w:pStyle w:val="6"/>
        <w:keepNext w:val="0"/>
        <w:keepLines w:val="0"/>
        <w:widowControl/>
        <w:suppressLineNumbers w:val="0"/>
        <w:spacing w:before="0" w:beforeAutospacing="0" w:after="150" w:afterAutospacing="0" w:line="300" w:lineRule="atLeast"/>
        <w:ind w:left="105" w:firstLine="600"/>
      </w:pPr>
      <w:r>
        <w:rPr>
          <w:rFonts w:hint="eastAsia" w:ascii="宋体" w:hAnsi="宋体" w:eastAsia="宋体" w:cs="宋体"/>
          <w:sz w:val="24"/>
          <w:szCs w:val="24"/>
        </w:rPr>
        <w:t>系统应开放院感科综合管理功能，支持院感人员对报卡的接收、审核、数据导出、上报等，支持院感专职人员对报卡病种及对应报卡的维护或设置。</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（3）统计查询</w:t>
      </w:r>
    </w:p>
    <w:p>
      <w:pPr>
        <w:pStyle w:val="6"/>
        <w:keepNext w:val="0"/>
        <w:keepLines w:val="0"/>
        <w:widowControl/>
        <w:suppressLineNumbers w:val="0"/>
        <w:spacing w:before="0" w:beforeAutospacing="0" w:after="150" w:afterAutospacing="0" w:line="300" w:lineRule="atLeast"/>
        <w:ind w:left="105" w:firstLine="600"/>
      </w:pPr>
      <w:r>
        <w:rPr>
          <w:rFonts w:hint="eastAsia" w:ascii="宋体" w:hAnsi="宋体" w:eastAsia="宋体" w:cs="宋体"/>
          <w:sz w:val="24"/>
          <w:szCs w:val="24"/>
        </w:rPr>
        <w:t>系统需提供临床或医技的疾病报卡进行汇总统计的功能，支持按时间段、按科室、按医生、按诊断等多种形式的综合查询功能，支持列表数据的导出、打印功能。</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（4）数据上报</w:t>
      </w:r>
    </w:p>
    <w:p>
      <w:pPr>
        <w:pStyle w:val="6"/>
        <w:keepNext w:val="0"/>
        <w:keepLines w:val="0"/>
        <w:widowControl/>
        <w:suppressLineNumbers w:val="0"/>
        <w:spacing w:before="0" w:beforeAutospacing="0" w:after="150" w:afterAutospacing="0" w:line="300" w:lineRule="atLeast"/>
        <w:ind w:left="105" w:firstLine="600"/>
      </w:pPr>
      <w:r>
        <w:rPr>
          <w:rFonts w:hint="eastAsia" w:ascii="宋体" w:hAnsi="宋体" w:eastAsia="宋体" w:cs="宋体"/>
          <w:sz w:val="24"/>
          <w:szCs w:val="24"/>
        </w:rPr>
        <w:t>系统应支持与省 市 级传染病网络直报系统的无缝对接功能，通过有关数据交换标准和系统接口标准有效地完成数据的及时上报。</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（5）系统接口</w:t>
      </w:r>
    </w:p>
    <w:p>
      <w:pPr>
        <w:pStyle w:val="6"/>
        <w:keepNext w:val="0"/>
        <w:keepLines w:val="0"/>
        <w:widowControl/>
        <w:suppressLineNumbers w:val="0"/>
        <w:spacing w:before="0" w:beforeAutospacing="0" w:after="150" w:afterAutospacing="0" w:line="300" w:lineRule="atLeast"/>
        <w:ind w:left="105" w:firstLine="480"/>
      </w:pPr>
      <w:r>
        <w:rPr>
          <w:rFonts w:hint="eastAsia" w:ascii="宋体" w:hAnsi="宋体" w:eastAsia="宋体" w:cs="宋体"/>
          <w:sz w:val="24"/>
          <w:szCs w:val="24"/>
        </w:rPr>
        <w:t>系统应提供与HIS、LIS、EMR系统之间的接口，实现业务系统与报卡系统数据的及时采集、存储、传输、管理和上报。</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1.4.4病案管理信息系统</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医院病案管理系统应能实现对医院住院病案对病人的疾病、医疗、手术等情况及门急诊、病房、医技工作量等各种信息进行全面的综合管理。能真实、准确地记录每位住院病人的病程录。能为医院教学、科研工作提供可靠的数据，提高医院的医疗质量。主要功能应包括：</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业务</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首页登记：登记出院病人病案首页。</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病案管理：对输入的病案首页进行修改、注销、查询和归档管理。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借阅管理：完成病案的借阅登记、续借、催还、归还的管理操作。</w:t>
      </w:r>
    </w:p>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rPr>
        <w:t>质量管理：完成已保存病案的质量抽查工作，登记抽查结果。</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报表</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分科统计表：按科室统计病案数据</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疾病分类表：按疾病统计病案数据</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病种统计表：按病种统计病案数据</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检索</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索引表、一览表：根据已输入的病案首页生成各类索引卡、一览表</w:t>
      </w:r>
    </w:p>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rPr>
        <w:t>查询</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简单查询：以住院号,姓名,疾病编码,统计码为条件单项或组合查询病案首页。</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综合查询：通过输入条件查询病案首页。</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1.4.5 物资管理系统</w:t>
      </w:r>
    </w:p>
    <w:p>
      <w:pPr>
        <w:pStyle w:val="6"/>
        <w:keepNext w:val="0"/>
        <w:keepLines w:val="0"/>
        <w:widowControl/>
        <w:suppressLineNumbers w:val="0"/>
        <w:spacing w:before="0" w:beforeAutospacing="0" w:after="150" w:afterAutospacing="0" w:line="300" w:lineRule="atLeast"/>
        <w:ind w:left="0" w:firstLine="435"/>
      </w:pPr>
      <w:r>
        <w:rPr>
          <w:rFonts w:hint="eastAsia" w:ascii="宋体" w:hAnsi="宋体" w:eastAsia="宋体" w:cs="宋体"/>
          <w:sz w:val="24"/>
          <w:szCs w:val="24"/>
        </w:rPr>
        <w:t>物资管理系统主要应实现包括以下功能：</w:t>
      </w:r>
    </w:p>
    <w:tbl>
      <w:tblPr>
        <w:tblW w:w="829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739"/>
        <w:gridCol w:w="2327"/>
        <w:gridCol w:w="42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4021" w:type="dxa"/>
            <w:gridSpan w:val="2"/>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功能类别</w:t>
            </w:r>
          </w:p>
        </w:tc>
        <w:tc>
          <w:tcPr>
            <w:tcW w:w="4183"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物资采购管理</w:t>
            </w: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采购申请(非设备)</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科室或库房登记物资采购申请信息并提交到采购中心，采购办审核后进行汇总。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采购计划汇总</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采购中心将总务库房提交的多张物资采购申请单汇总成采购计划，采购人员根据采购计划采购物资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物流合同生成</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物资采购完成后，根据物资的采购计划直接生成采购合同，或者手工新建采购合同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物流合同管理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管理物资采购合同，支持同一合同编号的多种采购物资生成1个采购合同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物资入库业务</w:t>
            </w: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入库业务管理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将外界的物资引入到医院库房里，支持采购入库、捐赠入库及其他入库等方式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入库验收管理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物资入库前，库房管理员对物资是否破损、是否过期等情况进行验收，可根据采购订单、汇总计划单进行验收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发票补登管理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对已经记帐的但未填写发票号码和发票日期的入库单进行补登发票号码和日期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4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库房付款管理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库房在物资入库后，同供 应 商之间的业务。付款可以一次性付清，也能按照合同分开进行付款。付款时，可以根据发票、合同、或供 应 商选择单据进行付款，并生成对应的付款单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169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物资出库业务</w:t>
            </w: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出库业务管理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库房出库是发生在医院库房和医院科室之间的业务，但是不需要科室提交物资申领单，而是库房直接下发物资到科室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物资申领业务</w:t>
            </w: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物资申领登记</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科室登记物资领用单并提交到总务库房，或者根据库房定期定量设置条件自动生成科室物资申领单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物资申领审核</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总务库房审核科室物资的申领信息，审核无误则可出库，否则退回申领信息至科室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物资申领确认</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库房物资下发到科室后，科室进行入库确认操作，并建立科室帐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物资申领出库</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总务库房将物资下发到科室，并对每次下发物资的数量、金额、日期等信息建立出库流水明细账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库房计划业务</w:t>
            </w: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日常采购计划</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根据物资高低储信息生成库房日常采购计划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紧急采购计划</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科室向库房申领物资，库房无库存或库存不足时，库房可直接将申领信息生成紧急采购计划，提交到采购中心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计划汇总管理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库房汇总日常采购计划或紧急采购计划并提交采购中心，支持按物资汇总、按科室汇总和按供货商汇总。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采购订单管理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采购中心审核库房提交的采购计划汇总单并生成采购订单，采购员根据采购订单采购物资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物资转科业务</w:t>
            </w: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转科业务管理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将某个科室的物资转移到另一个科室，转科业务的结果是转出科室的库存减少，转入科室的库存增加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69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物资报损业务</w:t>
            </w: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报损业务管理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对库房物资或科室在用物资进行报损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物资调拨业务</w:t>
            </w: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调拨入库管理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申请库房向被调拨库房提交物资调拨申请信息，待被调拨库房物资出库后再进行调拨入库确认操作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调拨出库管理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被调拨科室审核申请科室的调拨信息，审核通过则将物资调拨给申请科室，否则退回调拨信息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物资盘点业务</w:t>
            </w: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盘点业务管理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根据物资库存信息自动生成库房物资盘点单，盘点人员打印盘点单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盘点录入管理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盘点人员将库房物资盘点的实际数据录入到系统中，支持PDA盘点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694"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物资计费接口</w:t>
            </w: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门诊收费接口</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与门诊收费系统或门诊医生站系统无缝连接(接口)，当门诊病人使用材料后自动扣减库房库存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住院收费接口</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与住院收费系统、病区护士站、医技系统、手麻系统无缝连接(接口)，当住院病人使用材料后自动扣减库房库存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物资养护业务</w:t>
            </w: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养护业务管理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根据库房库存进行物资养护，记录物资质量状况及养护意见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库房月结业务</w:t>
            </w: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库房月结处理</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月末结出余额，并与财务科同期余额进行核对，支持取消月结操作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694"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库房综合查询</w:t>
            </w: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物资库存查询</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查询库房中所有物资的库存信息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科室账册查询</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查询各科室在用物资的库存信息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库存台账查询</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查询库房物资的台账明细，包括上月结余、本月收入、本月支出、本月结余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业务单据查询</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包括入库单、出库单、申领单、转科单、报损单、盘点单、封存单、退库单、付款单、重置单的查询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业务明细查询</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根据账簿类别、核算类别、供货单位、会计期间、入库期间、物资名  称等条件查询已发生的业务信息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物流报损查询</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查询库房物资和科室在用物资的报损信息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95"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物资进价查询</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根据账簿类别、核算类别、物资名  称、规格型号、供货单位、生产厂家、发生日期查询所有物资的进价信息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物资分布查询</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根据账簿类别、物资名  称、规格型号、生产厂家、科室名  称查询各科室消耗类物资的库存明细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物流预警信息</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查询低储库存预警、高储库存预警、库存失效预警、证件有效期预警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物流证件查询</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查询厂家产品注册证、生产许可证，供货商营业执照、经营许可证的有效期情况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科室定额查询</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查询某年（月）某个科室下定额分类或定额物资的定额及使用情况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库房业务报表</w:t>
            </w: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入库汇总报表</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按账簿、按物资、按流转方式汇总某段时间内库房的入库情况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出库汇总报表</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按账簿、按物资、按流转方式汇总某段时间内库房的出库情况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科室领用汇总</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按科室汇总某段时间科室的申领信息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转科汇总报表</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按账簿类别汇总某段时间内所有物资的转科情况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报损汇总报表</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按账簿类别汇总某段时间内在库报损和科室报损的情况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收支月报表</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库房月结后生成库房收支月报表，按账簿类别统计本月或历史某段时间内上期结存、本期入库、本期出库、本期报损、本期盘盈、本期结存情况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收支汇总报表</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库房月结后生成库房收支汇总报表，统计某段时间内上期结存、本期入库、本期出库、本期报损、本期盘盈、本期结存情况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在用汇总报表</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按账簿类别汇总某段时间内医院的在用物资情况，包括上期结存、本期增加、本期减少、本期结存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科室在用汇总</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按账簿类别汇总某段时间内医院各科室的物资在用情况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年度采购对比表</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按账簿类别汇总某一年的各月份的采购数据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业务支出变化表</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设置统计时段和参比时段，按科室比较这2各时段物资的支出情况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定额科室消耗统计</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按年（月）统计某个科室下定额分类或定额物资消耗情况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94"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229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定额科室消耗分析</w:t>
            </w:r>
          </w:p>
        </w:tc>
        <w:tc>
          <w:tcPr>
            <w:tcW w:w="418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按定额分类或定额物资对某个科室物资的消耗情况进修同比或环比分析</w:t>
            </w:r>
          </w:p>
        </w:tc>
      </w:tr>
    </w:tbl>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1.4.6 设备管理系统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设备管理系统实现对医院的医疗设备从计划采购、合同录入到在用设备的维修，质检等进行全面管理。主要功能应包括：</w:t>
      </w:r>
    </w:p>
    <w:tbl>
      <w:tblPr>
        <w:tblW w:w="851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257"/>
        <w:gridCol w:w="62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20" w:hRule="atLeast"/>
          <w:tblCellSpacing w:w="15" w:type="dxa"/>
        </w:trPr>
        <w:tc>
          <w:tcPr>
            <w:tcW w:w="221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功能类别</w:t>
            </w:r>
          </w:p>
        </w:tc>
        <w:tc>
          <w:tcPr>
            <w:tcW w:w="621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1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设备采购计划</w:t>
            </w:r>
          </w:p>
        </w:tc>
        <w:tc>
          <w:tcPr>
            <w:tcW w:w="621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提供科室请购、计划论证、计划编制、进口设备申请、各类采购计划单据查询等功能。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1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采购合同处理</w:t>
            </w:r>
          </w:p>
        </w:tc>
        <w:tc>
          <w:tcPr>
            <w:tcW w:w="621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提供设备采设合同的登记、付款、合同登记及付款情况的查询等功能。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21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设备维修</w:t>
            </w:r>
          </w:p>
        </w:tc>
        <w:tc>
          <w:tcPr>
            <w:tcW w:w="621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供设备维修申请、设备维修、PM计划、保修合同、各类维修单据及保修合同查询等功能。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1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设备质量检验</w:t>
            </w:r>
          </w:p>
        </w:tc>
        <w:tc>
          <w:tcPr>
            <w:tcW w:w="621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提供设备的质量验收、定期状态检测、稳定检测、质控图、质检单查询等功能。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设备计量检验</w:t>
            </w:r>
          </w:p>
        </w:tc>
        <w:tc>
          <w:tcPr>
            <w:tcW w:w="621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提供计量设备的计量检验、计检查询等功能。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2212"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设备报表</w:t>
            </w:r>
          </w:p>
        </w:tc>
        <w:tc>
          <w:tcPr>
            <w:tcW w:w="6217"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提供在用设备、设备年报表、设备增/减年报表、设备价值分类表、成本效益分析年报表、成本效益分析月报表、科室设备保管表等报表。</w:t>
            </w:r>
          </w:p>
        </w:tc>
      </w:tr>
    </w:tbl>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1.4.7 固定资产管理系统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固定资产管理系统主要实现对医院的医疗设备、房屋建筑、交通工具等固定资产从入帐到报废的全程管理。主要功能应包括：</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 </w:t>
      </w:r>
    </w:p>
    <w:tbl>
      <w:tblPr>
        <w:tblW w:w="851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255"/>
        <w:gridCol w:w="62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20"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Style w:val="8"/>
                <w:rFonts w:hint="eastAsia" w:ascii="宋体" w:hAnsi="宋体" w:eastAsia="宋体" w:cs="宋体"/>
                <w:sz w:val="24"/>
                <w:szCs w:val="24"/>
                <w:bdr w:val="none" w:color="auto" w:sz="0" w:space="0"/>
              </w:rPr>
              <w:t>功能类别</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jc w:val="center"/>
            </w:pPr>
            <w:r>
              <w:rPr>
                <w:rFonts w:hint="eastAsia" w:ascii="宋体" w:hAnsi="宋体" w:eastAsia="宋体" w:cs="宋体"/>
                <w:sz w:val="24"/>
                <w:szCs w:val="24"/>
                <w:bdr w:val="none" w:color="auto" w:sz="0" w:space="0"/>
              </w:rPr>
              <w:t>功能需求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资产字典维护</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维护固定资产的基本信息。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资产分类维护</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对资产进行分类，并分配相应的分类编码。同时也可对分类编码进行维护。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制造商维护</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维护资产的制造商信息，每个资产必须有对应的制造商。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供 应 商维护</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维护资产入库中的供 应 商信息。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附件维护</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对已经入库的资产附件信息进行维护。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增加方式维护</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用户自定义增加方式，并可以 指 定其相应的使用单号。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减少方式维护</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用户自定义减少方式，并可以 指 定其相应的使用单号。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数据字典</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维护一些公用信息，该系统主要维护货币单位信息。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系统初始化</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包括初始化，初始建帐，初始转账三步。初始化将清空系统中原有的业务数据，初始建帐可输入系统的初试数据，初始转账之后产生初试的月结记录并标志初始化完成。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资产购入</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完成购入开单和购入单的审批，实现固定资产的入库。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资产增加</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完成用户自定义的增加方式开单及其审批。实现固定资产的入库。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购入单查询</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查看审批或还未审批的购入单。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增加单查询</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查看审批或还未审批的增加单。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资产调配</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实现固定资产的科室领用，通过领用单填写和审批将资产分配给科室使用。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资产转移</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实现在用资产的科室间转移。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调配单查询</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查看审批或还未审批的调配单。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转移单查询</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查看审批或还未审批的转移单。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资产报损</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实现固定资产的报损处理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资产减少</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实现用户自定义的减少方式的资产减少处理。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报损单查询</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查看审批或还未审批的报损单。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减少单查询</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查看审批或还未审批的减少单。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资产重置</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对已经入库的资产进行的价值调整。重置后的资产对于折旧而言将视为一个全新的资产，即折旧将重新计算。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资产封存</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对在用资产进行封存，以避免一些暂不使用的资产进行无谓的折旧。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封存解除</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对已经封存的资产进行解除封存，投入使用并继续进行折旧。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折旧处理</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根据资产各自的折旧算法，对选择资产进行折旧处理。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月结处理</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记录这一个财务月份中各个资产的变动情况，产生月报。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重置单查询</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查看审批或还未审批的重置单。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折旧明细</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折旧处理后查看各个资产具体的折旧信息，包括折旧前单价，折旧后单价，本次折旧和累计折旧等。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台帐查询</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查看各个资产 指 定财务区间内的变动情况。同时可以查看其对应的附加属性和附件清单。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固定资产分类汇总表</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统计 指 定类别的资产在 指 定时间段内的增加，减少，重置，和折旧情况以及期初，期末的结存金额，并将上述金额数据按 指 定类别的一级子分类汇总。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科室固定资产折旧汇总月报</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将 指 定类别的资产在 指 定财务月份的折旧金额按在用科定和 指 定类别的一级子分类汇总。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科室使用固定资产明细</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列出资产帐簿中 指 定科室的在用资产清单。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科室固定资产变动表</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按时间顺序列出 指 定在用科室在 指 定时间段内所发生的资产的调配，重置，转移或减少事件。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固定资产增加月报</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列出 指 定资产增加方式在 指 定财务月份发生增加的资产清单。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210"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Style w:val="8"/>
                <w:rFonts w:hint="eastAsia" w:ascii="宋体" w:hAnsi="宋体" w:eastAsia="宋体" w:cs="宋体"/>
                <w:sz w:val="24"/>
                <w:szCs w:val="24"/>
                <w:bdr w:val="none" w:color="auto" w:sz="0" w:space="0"/>
              </w:rPr>
              <w:t>固定资产减少月报</w:t>
            </w:r>
          </w:p>
        </w:tc>
        <w:tc>
          <w:tcPr>
            <w:tcW w:w="6219"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0" w:beforeAutospacing="0" w:after="150" w:afterAutospacing="0" w:line="300" w:lineRule="atLeast"/>
            </w:pPr>
            <w:r>
              <w:rPr>
                <w:rFonts w:hint="eastAsia" w:ascii="宋体" w:hAnsi="宋体" w:eastAsia="宋体" w:cs="宋体"/>
                <w:sz w:val="24"/>
                <w:szCs w:val="24"/>
                <w:bdr w:val="none" w:color="auto" w:sz="0" w:space="0"/>
              </w:rPr>
              <w:t>列出 指 定资产减少方式（如：报损）在 指 定财务月份发生减少的资产清单。</w:t>
            </w:r>
          </w:p>
        </w:tc>
      </w:tr>
    </w:tbl>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1.4.8 高值耗材信息管理系统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备货产品目录管理：将供货商提供的高值耗材产品目录导入系统，导入时，若系统中无高值耗材的字典，则会自动创建，而不需要用户手工去维护高值耗材的字典。导入后，中心库房对导入成功的高值耗材进行审核。审核通过的，才能进行备货操作。</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备货信息管理：高值耗材由于价格比较高，使用频率低(主要用于临床手术)，所以与普通材料的管理流程不一样，不需要入库。而是供货商将高值耗材寄放在医院，医院使用了高值耗材后再付钱给供货商。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备货使用管理：与HIS做接口，手术室备货确认并计费后，在对应的手术室所在的二级库房直接生成病人的备货使用单，生成时扣除该耗材的备货数量。</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备货使用审核：备货库房根据供货单位提供的条码（主码、附码），审核收费信息及病人登记信息，审核通过，则把条码、发票提交给财务科。财务科核对无误后，做财务帐并按管理规范付款给供货单位。</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1.4.9 供应室管理系统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管理供应室和临床科室之间包裹的打包，消毒，发送，回收等流程，并记录从建立开始到现在所经历过的所有操作和业务，以便于查询和追踪包裹现有的状态以及过程中存在的问题。</w:t>
      </w:r>
    </w:p>
    <w:p>
      <w:pPr>
        <w:pStyle w:val="6"/>
        <w:keepNext w:val="0"/>
        <w:keepLines w:val="0"/>
        <w:widowControl/>
        <w:suppressLineNumbers w:val="0"/>
        <w:spacing w:before="0" w:beforeAutospacing="0" w:after="150" w:afterAutospacing="0"/>
        <w:ind w:left="420"/>
      </w:pPr>
      <w:r>
        <w:rPr>
          <w:rStyle w:val="8"/>
          <w:rFonts w:hint="eastAsia" w:ascii="宋体" w:hAnsi="宋体" w:eastAsia="宋体" w:cs="宋体"/>
          <w:sz w:val="24"/>
          <w:szCs w:val="24"/>
        </w:rPr>
        <w:t>(1)包裹信息管理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包裹字典维护：维护包裹信息，包括包裹的类别、名  称以及包裹内的物品明细、数量、金额明细。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包裹库存维护：维护包裹的库存信息，包括查询和追踪包裹状态。</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器械台账管理：维护包裹中器械台账的信息，器械台账可报损。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包裹锅号管理：维护包裹的锅号信息。</w:t>
      </w:r>
    </w:p>
    <w:p>
      <w:pPr>
        <w:pStyle w:val="6"/>
        <w:keepNext w:val="0"/>
        <w:keepLines w:val="0"/>
        <w:widowControl/>
        <w:suppressLineNumbers w:val="0"/>
        <w:spacing w:before="0" w:beforeAutospacing="0" w:after="150" w:afterAutospacing="0"/>
        <w:ind w:left="420"/>
      </w:pPr>
      <w:r>
        <w:rPr>
          <w:rStyle w:val="8"/>
          <w:rFonts w:hint="eastAsia" w:ascii="宋体" w:hAnsi="宋体" w:eastAsia="宋体" w:cs="宋体"/>
          <w:sz w:val="24"/>
          <w:szCs w:val="24"/>
        </w:rPr>
        <w:t>(2)包裹申领管理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提供增加、删除和修改包裹申领信息的功能。</w:t>
      </w:r>
    </w:p>
    <w:p>
      <w:pPr>
        <w:pStyle w:val="6"/>
        <w:keepNext w:val="0"/>
        <w:keepLines w:val="0"/>
        <w:widowControl/>
        <w:suppressLineNumbers w:val="0"/>
        <w:spacing w:before="0" w:beforeAutospacing="0" w:after="150" w:afterAutospacing="0"/>
        <w:ind w:left="420"/>
      </w:pPr>
      <w:r>
        <w:rPr>
          <w:rStyle w:val="8"/>
          <w:rFonts w:hint="eastAsia" w:ascii="宋体" w:hAnsi="宋体" w:eastAsia="宋体" w:cs="宋体"/>
          <w:sz w:val="24"/>
          <w:szCs w:val="24"/>
        </w:rPr>
        <w:t>(3)包裹业务管理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包裹业务：包裹的管理主要包括了供应室和科室之间对包裹的清洗、打包、灭菌的流程业务。</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包裹发放：发放已经灭菌的包裹到科室。</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包裹回收：回收已经发放的包裹，若器械台账已报损则需更换。</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包裹追溯：通过追溯条码，查询出与该包裹同时做业务处理的相应包裹的追溯信息，通过对应的包裹信息，检查各包裹。</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1.4.10 OA系统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系统功能应能实现公文档案一体化管理，同时具备强大的文档查询功能，主要功能应包括： </w:t>
      </w:r>
    </w:p>
    <w:p>
      <w:pPr>
        <w:pStyle w:val="6"/>
        <w:keepNext w:val="0"/>
        <w:keepLines w:val="0"/>
        <w:widowControl/>
        <w:suppressLineNumbers w:val="0"/>
        <w:spacing w:before="0" w:beforeAutospacing="0" w:after="150" w:afterAutospacing="0" w:line="300" w:lineRule="atLeast"/>
        <w:ind w:left="615"/>
      </w:pPr>
      <w:r>
        <w:rPr>
          <w:rStyle w:val="8"/>
          <w:rFonts w:hint="eastAsia" w:ascii="宋体" w:hAnsi="宋体" w:eastAsia="宋体" w:cs="宋体"/>
          <w:sz w:val="24"/>
          <w:szCs w:val="24"/>
        </w:rPr>
        <w:t>（1）个人办公</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通过员工自定义桌面方便用户的日常工作管理，重点包括个人邮箱、待办事宜、日程安排、工作管理、业务申请、待办文件、业务审批、个人风格、消息机制等模块，快速建立高效、协同的电子办公模式。</w:t>
      </w:r>
    </w:p>
    <w:p>
      <w:pPr>
        <w:pStyle w:val="6"/>
        <w:keepNext w:val="0"/>
        <w:keepLines w:val="0"/>
        <w:widowControl/>
        <w:suppressLineNumbers w:val="0"/>
        <w:spacing w:before="0" w:beforeAutospacing="0" w:after="150" w:afterAutospacing="0" w:line="300" w:lineRule="atLeast"/>
        <w:ind w:left="615"/>
      </w:pPr>
      <w:r>
        <w:rPr>
          <w:rStyle w:val="8"/>
          <w:rFonts w:hint="eastAsia" w:ascii="宋体" w:hAnsi="宋体" w:eastAsia="宋体" w:cs="宋体"/>
          <w:sz w:val="24"/>
          <w:szCs w:val="24"/>
        </w:rPr>
        <w:t>（2）信息中心</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信息中心包括栏目管理、信息发布、信息浏览三大部分功能。各用户可以根据自己的实际需要自行进行栏目的分级设置。并根据管理规定设定各栏目相关的发布、管理权限，实现内部新闻、公告、规章制度等公用信息的统一上传管理。</w:t>
      </w:r>
    </w:p>
    <w:p>
      <w:pPr>
        <w:pStyle w:val="6"/>
        <w:keepNext w:val="0"/>
        <w:keepLines w:val="0"/>
        <w:widowControl/>
        <w:suppressLineNumbers w:val="0"/>
        <w:spacing w:before="0" w:beforeAutospacing="0" w:after="150" w:afterAutospacing="0" w:line="300" w:lineRule="atLeast"/>
        <w:ind w:left="615"/>
      </w:pPr>
      <w:r>
        <w:rPr>
          <w:rStyle w:val="8"/>
          <w:rFonts w:hint="eastAsia" w:ascii="宋体" w:hAnsi="宋体" w:eastAsia="宋体" w:cs="宋体"/>
          <w:sz w:val="24"/>
          <w:szCs w:val="24"/>
        </w:rPr>
        <w:t>（3）计划管理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计划安排实现对日常工作计划的安排、下达、负责人员的 指 定，同时支持进行计划的再分解操作，实现工作由上到下，由总到分的统一安排管理，实现对于工作任务进度、工时进度、任务进度的多种跟踪检查和工作日志的管理。</w:t>
      </w:r>
    </w:p>
    <w:p>
      <w:pPr>
        <w:pStyle w:val="6"/>
        <w:keepNext w:val="0"/>
        <w:keepLines w:val="0"/>
        <w:widowControl/>
        <w:suppressLineNumbers w:val="0"/>
        <w:spacing w:before="0" w:beforeAutospacing="0" w:after="150" w:afterAutospacing="0" w:line="300" w:lineRule="atLeast"/>
        <w:ind w:left="615"/>
      </w:pPr>
      <w:r>
        <w:rPr>
          <w:rStyle w:val="8"/>
          <w:rFonts w:hint="eastAsia" w:ascii="宋体" w:hAnsi="宋体" w:eastAsia="宋体" w:cs="宋体"/>
          <w:sz w:val="24"/>
          <w:szCs w:val="24"/>
        </w:rPr>
        <w:t>（4）公文管理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实现了单位内部发文起草、发布来文登记、根据预先设置的公文办理流程，各环节的办理功能定义，可以实现公文的各项办理工作，包括拟制公文、公文办理、公文登记、公文催办、公文跳转、归档销毁、公文查询、密级管理、模板维护、流程设置、公文类别设置等。</w:t>
      </w:r>
    </w:p>
    <w:p>
      <w:pPr>
        <w:pStyle w:val="6"/>
        <w:keepNext w:val="0"/>
        <w:keepLines w:val="0"/>
        <w:widowControl/>
        <w:suppressLineNumbers w:val="0"/>
        <w:spacing w:before="0" w:beforeAutospacing="0" w:after="150" w:afterAutospacing="0" w:line="300" w:lineRule="atLeast"/>
        <w:ind w:left="615"/>
      </w:pPr>
      <w:r>
        <w:rPr>
          <w:rStyle w:val="8"/>
          <w:rFonts w:hint="eastAsia" w:ascii="宋体" w:hAnsi="宋体" w:eastAsia="宋体" w:cs="宋体"/>
          <w:sz w:val="24"/>
          <w:szCs w:val="24"/>
        </w:rPr>
        <w:t>（5）文档管理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通过对于单位内部文档库的分类定义，权限划分，建立单位内部文档资源库，各相关人员可对在授权范围内的文档目录进行相应的发布、浏览、修改、查询和下载等操作。</w:t>
      </w:r>
    </w:p>
    <w:p>
      <w:pPr>
        <w:pStyle w:val="6"/>
        <w:keepNext w:val="0"/>
        <w:keepLines w:val="0"/>
        <w:widowControl/>
        <w:suppressLineNumbers w:val="0"/>
        <w:spacing w:before="0" w:beforeAutospacing="0" w:after="150" w:afterAutospacing="0" w:line="300" w:lineRule="atLeast"/>
        <w:ind w:left="615"/>
      </w:pPr>
      <w:r>
        <w:rPr>
          <w:rStyle w:val="8"/>
          <w:rFonts w:hint="eastAsia" w:ascii="宋体" w:hAnsi="宋体" w:eastAsia="宋体" w:cs="宋体"/>
          <w:sz w:val="24"/>
          <w:szCs w:val="24"/>
        </w:rPr>
        <w:t>（6）事务申请</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系统本身提供了8种定制格式的申请审批类型，同时支持用户根据日常办公的实际情况，自定义其它的申请、请示、报告等，通过设置相应的流转路径，实现申请审批的自动化，管理者可以对需要自己进行审批回复的各类申请、请示、报告进行相应的审批、回复、填写意见等操作。</w:t>
      </w:r>
    </w:p>
    <w:p>
      <w:pPr>
        <w:pStyle w:val="6"/>
        <w:keepNext w:val="0"/>
        <w:keepLines w:val="0"/>
        <w:widowControl/>
        <w:suppressLineNumbers w:val="0"/>
        <w:spacing w:before="0" w:beforeAutospacing="0" w:after="150" w:afterAutospacing="0" w:line="300" w:lineRule="atLeast"/>
        <w:ind w:left="615"/>
      </w:pPr>
      <w:r>
        <w:rPr>
          <w:rStyle w:val="8"/>
          <w:rFonts w:hint="eastAsia" w:ascii="宋体" w:hAnsi="宋体" w:eastAsia="宋体" w:cs="宋体"/>
          <w:sz w:val="24"/>
          <w:szCs w:val="24"/>
        </w:rPr>
        <w:t>（7）人事管理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包括人员档案管理、调动分配管理、离职管理、及各种查询统计，可以实现对单位员工人事信息、岗位调动变化的管理查询功能，考勤管理由签到、签退、请假/销假、加班申请、统计查询等模块组成，可以对单位员工的考勤情况一览无余。</w:t>
      </w:r>
    </w:p>
    <w:p>
      <w:pPr>
        <w:pStyle w:val="6"/>
        <w:keepNext w:val="0"/>
        <w:keepLines w:val="0"/>
        <w:widowControl/>
        <w:suppressLineNumbers w:val="0"/>
        <w:spacing w:before="0" w:beforeAutospacing="0" w:after="150" w:afterAutospacing="0" w:line="300" w:lineRule="atLeast"/>
        <w:ind w:left="615"/>
      </w:pPr>
      <w:r>
        <w:rPr>
          <w:rStyle w:val="8"/>
          <w:rFonts w:hint="eastAsia" w:ascii="宋体" w:hAnsi="宋体" w:eastAsia="宋体" w:cs="宋体"/>
          <w:sz w:val="24"/>
          <w:szCs w:val="24"/>
        </w:rPr>
        <w:t>（8）会议管理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对于单位会议室安排进行预约申请，登记，使用情况查询，根据参加范围自动发送会议通知邮件。打印会议通知等功能可以降低会议管理人员的工作强度，对于各类会议精神、决议的登记，相关文件的上传管理，可以使单位会议管理井井有条，便于日后对于会议决议执行情况的跟踪管理。</w:t>
      </w:r>
    </w:p>
    <w:p>
      <w:pPr>
        <w:pStyle w:val="6"/>
        <w:keepNext w:val="0"/>
        <w:keepLines w:val="0"/>
        <w:widowControl/>
        <w:suppressLineNumbers w:val="0"/>
        <w:spacing w:before="0" w:beforeAutospacing="0" w:after="150" w:afterAutospacing="0" w:line="300" w:lineRule="atLeast"/>
        <w:ind w:left="615"/>
      </w:pPr>
      <w:r>
        <w:rPr>
          <w:rStyle w:val="8"/>
          <w:rFonts w:hint="eastAsia" w:ascii="宋体" w:hAnsi="宋体" w:eastAsia="宋体" w:cs="宋体"/>
          <w:sz w:val="24"/>
          <w:szCs w:val="24"/>
        </w:rPr>
        <w:t>（9）资产管理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由资产档案管理、使用归还管理、查询统计等功能模块组成，可以使管理者随时对单位内部资产分布情况、使用情况做到一目了然，同时，通过资产领用责任到人的设 计，可以明确使用责任人，有效杜绝资产流失。</w:t>
      </w:r>
    </w:p>
    <w:p>
      <w:pPr>
        <w:pStyle w:val="6"/>
        <w:keepNext w:val="0"/>
        <w:keepLines w:val="0"/>
        <w:widowControl/>
        <w:suppressLineNumbers w:val="0"/>
        <w:spacing w:before="0" w:beforeAutospacing="0" w:after="150" w:afterAutospacing="0" w:line="300" w:lineRule="atLeast"/>
        <w:ind w:left="615"/>
      </w:pPr>
      <w:r>
        <w:rPr>
          <w:rStyle w:val="8"/>
          <w:rFonts w:hint="eastAsia" w:ascii="宋体" w:hAnsi="宋体" w:eastAsia="宋体" w:cs="宋体"/>
          <w:sz w:val="24"/>
          <w:szCs w:val="24"/>
        </w:rPr>
        <w:t>（10）资料管理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通过系统建立资料管理档案，支持用户进行资料借阅的在线申请、回复、借出登记、归还登记等全自动操作，摆脱了传统的手工管理效率低下，查找烦琐等弊端。方便了单位员工对于各类资料的借阅操作。</w:t>
      </w:r>
    </w:p>
    <w:p>
      <w:pPr>
        <w:pStyle w:val="6"/>
        <w:keepNext w:val="0"/>
        <w:keepLines w:val="0"/>
        <w:widowControl/>
        <w:suppressLineNumbers w:val="0"/>
        <w:spacing w:before="0" w:beforeAutospacing="0" w:after="150" w:afterAutospacing="0" w:line="300" w:lineRule="atLeast"/>
        <w:ind w:left="615"/>
      </w:pPr>
      <w:r>
        <w:rPr>
          <w:rStyle w:val="8"/>
          <w:rFonts w:hint="eastAsia" w:ascii="宋体" w:hAnsi="宋体" w:eastAsia="宋体" w:cs="宋体"/>
          <w:sz w:val="24"/>
          <w:szCs w:val="24"/>
        </w:rPr>
        <w:t>（11）办公用品</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用户通过系统可在线填写采购申请，相关采购管理人员进行采购登记操作，同时通过为各种办公用品设定库存报警值，方便办公用品管理人员进行相应的提醒查询，于需要对办公用品进行领用的用户，通过在线查询、提交申请、相关领导审批、出库登记完成对办公用品领用的全流程管理。</w:t>
      </w:r>
    </w:p>
    <w:p>
      <w:pPr>
        <w:pStyle w:val="6"/>
        <w:keepNext w:val="0"/>
        <w:keepLines w:val="0"/>
        <w:widowControl/>
        <w:suppressLineNumbers w:val="0"/>
        <w:spacing w:before="0" w:beforeAutospacing="0" w:after="150" w:afterAutospacing="0" w:line="300" w:lineRule="atLeast"/>
        <w:ind w:left="615"/>
      </w:pPr>
      <w:r>
        <w:rPr>
          <w:rStyle w:val="8"/>
          <w:rFonts w:hint="eastAsia" w:ascii="宋体" w:hAnsi="宋体" w:eastAsia="宋体" w:cs="宋体"/>
          <w:sz w:val="24"/>
          <w:szCs w:val="24"/>
        </w:rPr>
        <w:t>（12）车辆管理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对于单位内部车辆建立相应的车辆档案，详细记录购买情况，车辆情况，对于出车情况建立申请、审批、登记的流程化管理制度，对车辆使用进行合理安排，可以有效提高车辆的利用率。</w:t>
      </w:r>
    </w:p>
    <w:p>
      <w:pPr>
        <w:pStyle w:val="6"/>
        <w:keepNext w:val="0"/>
        <w:keepLines w:val="0"/>
        <w:widowControl/>
        <w:suppressLineNumbers w:val="0"/>
        <w:spacing w:before="0" w:beforeAutospacing="0" w:after="150" w:afterAutospacing="0" w:line="300" w:lineRule="atLeast"/>
        <w:ind w:left="615"/>
      </w:pPr>
      <w:r>
        <w:rPr>
          <w:rStyle w:val="8"/>
          <w:rFonts w:hint="eastAsia" w:ascii="宋体" w:hAnsi="宋体" w:eastAsia="宋体" w:cs="宋体"/>
          <w:sz w:val="24"/>
          <w:szCs w:val="24"/>
        </w:rPr>
        <w:t>（13）报表管理</w:t>
      </w:r>
    </w:p>
    <w:p>
      <w:pPr>
        <w:pStyle w:val="6"/>
        <w:keepNext w:val="0"/>
        <w:keepLines w:val="0"/>
        <w:widowControl/>
        <w:suppressLineNumbers w:val="0"/>
        <w:spacing w:before="0" w:beforeAutospacing="0" w:after="150" w:afterAutospacing="0" w:line="300" w:lineRule="atLeast"/>
        <w:ind w:left="0" w:firstLine="420"/>
      </w:pPr>
      <w:r>
        <w:rPr>
          <w:rFonts w:hint="eastAsia" w:ascii="宋体" w:hAnsi="宋体" w:eastAsia="宋体" w:cs="宋体"/>
          <w:sz w:val="24"/>
          <w:szCs w:val="24"/>
        </w:rPr>
        <w:t>主要完成管理者对在职档案人员的查询，查询条件包括：所在部门、专业工种、职称、政治面貌、学历、性别等等；选中要查询人员所在的部门，单击即可，选中之后系统会自动执行查询功能，同时显示出按此条件查询出的人员基本信息。</w:t>
      </w:r>
    </w:p>
    <w:p>
      <w:pPr>
        <w:pStyle w:val="6"/>
        <w:keepNext w:val="0"/>
        <w:keepLines w:val="0"/>
        <w:widowControl/>
        <w:suppressLineNumbers w:val="0"/>
        <w:spacing w:before="0" w:beforeAutospacing="0" w:after="150" w:afterAutospacing="0" w:line="300" w:lineRule="atLeast"/>
        <w:ind w:left="615"/>
      </w:pPr>
      <w:r>
        <w:rPr>
          <w:rStyle w:val="8"/>
          <w:rFonts w:hint="eastAsia" w:ascii="宋体" w:hAnsi="宋体" w:eastAsia="宋体" w:cs="宋体"/>
          <w:sz w:val="24"/>
          <w:szCs w:val="24"/>
        </w:rPr>
        <w:t>（14）系统管理</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系统管理包括审批流程的设置，用户可自定义各种办公事务的审批流程，如：请假、加班、用款、报销、用车、会议室预定、公务接待等等；设置各种公文的办理流程和办理权限等。</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1.4.11 财务管理系统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本系统主要为建立医院全面财务预算管理，建立医院、职能归口管理单元、科室三级预算管理体系，有针对性地设置各级主体的预算项目，不同的预算项目设 计不同的业务流程和管控方法。</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系统应能有效地解决医院成本控制的事后性、核算主体成本控制力不足且缺乏控制意愿等问题，主要功能应包括：</w:t>
      </w:r>
    </w:p>
    <w:p>
      <w:pPr>
        <w:pStyle w:val="6"/>
        <w:keepNext w:val="0"/>
        <w:keepLines w:val="0"/>
        <w:widowControl/>
        <w:suppressLineNumbers w:val="0"/>
        <w:spacing w:before="0" w:beforeAutospacing="0" w:after="150" w:afterAutospacing="0" w:line="300" w:lineRule="atLeast"/>
        <w:ind w:left="0" w:firstLine="480"/>
      </w:pPr>
      <w:r>
        <w:rPr>
          <w:rStyle w:val="8"/>
          <w:rFonts w:hint="eastAsia" w:ascii="宋体" w:hAnsi="宋体" w:eastAsia="宋体" w:cs="宋体"/>
          <w:sz w:val="24"/>
          <w:szCs w:val="24"/>
        </w:rPr>
        <w:t>（1）预算编制</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预算指标的设置，并根据预算指标录入预算数据。包括预算汇总和预算分解。</w:t>
      </w:r>
    </w:p>
    <w:p>
      <w:pPr>
        <w:pStyle w:val="6"/>
        <w:keepNext w:val="0"/>
        <w:keepLines w:val="0"/>
        <w:widowControl/>
        <w:suppressLineNumbers w:val="0"/>
        <w:spacing w:before="0" w:beforeAutospacing="0" w:after="150" w:afterAutospacing="0" w:line="300" w:lineRule="atLeast"/>
        <w:ind w:left="0" w:firstLine="480"/>
      </w:pPr>
      <w:r>
        <w:rPr>
          <w:rStyle w:val="8"/>
          <w:rFonts w:hint="eastAsia" w:ascii="宋体" w:hAnsi="宋体" w:eastAsia="宋体" w:cs="宋体"/>
          <w:sz w:val="24"/>
          <w:szCs w:val="24"/>
        </w:rPr>
        <w:t>（2）预算审批</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对录入或导入的预算数据的审核，可根据系统参数设置是否需要审核。</w:t>
      </w:r>
    </w:p>
    <w:p>
      <w:pPr>
        <w:pStyle w:val="6"/>
        <w:keepNext w:val="0"/>
        <w:keepLines w:val="0"/>
        <w:widowControl/>
        <w:suppressLineNumbers w:val="0"/>
        <w:spacing w:before="0" w:beforeAutospacing="0" w:after="150" w:afterAutospacing="0" w:line="300" w:lineRule="atLeast"/>
        <w:ind w:left="0" w:firstLine="480"/>
      </w:pPr>
      <w:r>
        <w:rPr>
          <w:rStyle w:val="8"/>
          <w:rFonts w:hint="eastAsia" w:ascii="宋体" w:hAnsi="宋体" w:eastAsia="宋体" w:cs="宋体"/>
          <w:sz w:val="24"/>
          <w:szCs w:val="24"/>
        </w:rPr>
        <w:t>（3）预算调整</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调整已下达的预算方案。</w:t>
      </w:r>
    </w:p>
    <w:p>
      <w:pPr>
        <w:pStyle w:val="6"/>
        <w:keepNext w:val="0"/>
        <w:keepLines w:val="0"/>
        <w:widowControl/>
        <w:suppressLineNumbers w:val="0"/>
        <w:spacing w:before="0" w:beforeAutospacing="0" w:after="150" w:afterAutospacing="0" w:line="300" w:lineRule="atLeast"/>
        <w:ind w:left="0" w:firstLine="480"/>
      </w:pPr>
      <w:r>
        <w:rPr>
          <w:rStyle w:val="8"/>
          <w:rFonts w:hint="eastAsia" w:ascii="宋体" w:hAnsi="宋体" w:eastAsia="宋体" w:cs="宋体"/>
          <w:sz w:val="24"/>
          <w:szCs w:val="24"/>
        </w:rPr>
        <w:t>（4）预算执行</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全程监控预算执行情况，系统支持对单个预算项目进行控制，也支持对一组预算项目进行控制。</w:t>
      </w:r>
    </w:p>
    <w:p>
      <w:pPr>
        <w:pStyle w:val="6"/>
        <w:keepNext w:val="0"/>
        <w:keepLines w:val="0"/>
        <w:widowControl/>
        <w:suppressLineNumbers w:val="0"/>
        <w:spacing w:before="0" w:beforeAutospacing="0" w:after="150" w:afterAutospacing="0" w:line="300" w:lineRule="atLeast"/>
        <w:ind w:left="0" w:firstLine="480"/>
      </w:pPr>
      <w:r>
        <w:rPr>
          <w:rStyle w:val="8"/>
          <w:rFonts w:hint="eastAsia" w:ascii="宋体" w:hAnsi="宋体" w:eastAsia="宋体" w:cs="宋体"/>
          <w:sz w:val="24"/>
          <w:szCs w:val="24"/>
        </w:rPr>
        <w:t>（5）预算预警</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通过预警机制，对未来事件预警，对各种异常、重要情况预警。</w:t>
      </w:r>
    </w:p>
    <w:p>
      <w:pPr>
        <w:pStyle w:val="6"/>
        <w:keepNext w:val="0"/>
        <w:keepLines w:val="0"/>
        <w:widowControl/>
        <w:suppressLineNumbers w:val="0"/>
        <w:spacing w:before="0" w:beforeAutospacing="0" w:after="150" w:afterAutospacing="0" w:line="300" w:lineRule="atLeast"/>
        <w:ind w:left="0" w:firstLine="480"/>
      </w:pPr>
      <w:r>
        <w:rPr>
          <w:rStyle w:val="8"/>
          <w:rFonts w:hint="eastAsia" w:ascii="宋体" w:hAnsi="宋体" w:eastAsia="宋体" w:cs="宋体"/>
          <w:sz w:val="24"/>
          <w:szCs w:val="24"/>
        </w:rPr>
        <w:t>（6）预算控制</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根据预算规定的收入与支出标准,来检查和监督各部门活动,以保证组织经营目标的实现,并使费用支出受到严格有效约束的过程。</w:t>
      </w:r>
    </w:p>
    <w:p>
      <w:pPr>
        <w:pStyle w:val="6"/>
        <w:keepNext w:val="0"/>
        <w:keepLines w:val="0"/>
        <w:widowControl/>
        <w:suppressLineNumbers w:val="0"/>
        <w:spacing w:before="0" w:beforeAutospacing="0" w:after="150" w:afterAutospacing="0" w:line="300" w:lineRule="atLeast"/>
        <w:ind w:left="0" w:firstLine="480"/>
      </w:pPr>
      <w:r>
        <w:rPr>
          <w:rStyle w:val="8"/>
          <w:rFonts w:hint="eastAsia" w:ascii="宋体" w:hAnsi="宋体" w:eastAsia="宋体" w:cs="宋体"/>
          <w:sz w:val="24"/>
          <w:szCs w:val="24"/>
        </w:rPr>
        <w:t>（7）预算分析</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预算各类报告，如预算异常因素统计，预算指标的对比报告等。</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1.4.12 科室核算系统</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科室核算系统是将医院医疗服务过程中发生的各种消耗归集和分摊到临床服务类科室，然后对医院经营成本进行预测、计划、分解、控制、核算、分析和考核，以达到用最小的成本开支来获得最佳效益的一整套科学的成本管理体系和方法。主要功能应包括：</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应实现与HIS无缝连接(接口)，采集门诊、住院的收入和流量数据。收入数据应按收费项目、开单科室、执行科室采集，收入数据应包括床位收入、药品收入、护理收入、检查收入等。门诊流量数据按HIS科室、患者类型采集门诊挂号人次，门诊流量数据按HIS科室、患者类型采集住院床日。</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应实现与HIS无缝连接(接口)，采集门诊、住院临床服务类科室的直接成本。成本数据应包括人员经费、科室材料消耗费用、固定资产折旧费、无形资产折旧费用等等。</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应能利用四级分摊算法，将管理成本、医辅成本、医技成本逐级分摊到临床服务类科室，完成全成本核算工作。</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应能实现以科室核算为核心，对成本核算结果进行完整的、全方位的分析。包括：医院收入成本收益、临床科室收入成本收益、医技科室收入成本收益、科室的成本构成明细、科室固定成本/变动成本、科室可控成本/不可控成本、科室直接成本/间接成本、科室人力/材料/净药品/折旧/其他、本期与上期/预算/去年同期成本比较、成本分摊表、科室收入/成本/收益排名表等。</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应能实现包括门诊保本点预测和住院保本点预测，用以确定保证医院正常有序发展所要达到的保本业务量和保本收入总额，进一步确定所必须的目标业务量和业务额，同时固定成本和变动成本的改变也会影响医院发展。</w:t>
      </w:r>
    </w:p>
    <w:p>
      <w:pPr>
        <w:pStyle w:val="6"/>
        <w:keepNext w:val="0"/>
        <w:keepLines w:val="0"/>
        <w:widowControl/>
        <w:suppressLineNumbers w:val="0"/>
        <w:spacing w:before="0" w:beforeAutospacing="0" w:after="150" w:afterAutospacing="0" w:line="300" w:lineRule="atLeast"/>
        <w:ind w:left="0" w:firstLine="480"/>
      </w:pPr>
      <w:r>
        <w:rPr>
          <w:rFonts w:hint="eastAsia" w:ascii="宋体" w:hAnsi="宋体" w:eastAsia="宋体" w:cs="宋体"/>
          <w:sz w:val="24"/>
          <w:szCs w:val="24"/>
        </w:rPr>
        <w:t>应能提供包括医院各科室直接成本表、医院临床服务类科室全成本表、医院临床服务类科室全成本构成分析表，以及部级医院财务制度规定的对应的相应报表。</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1.4.13 终端管理系统：1套</w:t>
      </w:r>
    </w:p>
    <w:tbl>
      <w:tblPr>
        <w:tblW w:w="830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588"/>
        <w:gridCol w:w="67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543" w:type="dxa"/>
            <w:tcBorders>
              <w:top w:val="nil"/>
              <w:left w:val="nil"/>
              <w:bottom w:val="nil"/>
              <w:right w:val="nil"/>
            </w:tcBorders>
            <w:shd w:val="clear" w:color="auto" w:fill="BEBEBE"/>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676" w:type="dxa"/>
            <w:tcBorders>
              <w:top w:val="nil"/>
              <w:left w:val="nil"/>
              <w:bottom w:val="nil"/>
              <w:right w:val="nil"/>
            </w:tcBorders>
            <w:shd w:val="clear" w:color="auto" w:fill="BEBEBE"/>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参数要求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543"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配置要求</w:t>
            </w: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提供不少于200个PC终端授权,一个控制中心, 含三年病毒特征库升级服务，客户端支持Windows XP SP3及以上/Windows Vista/Windows 7/Windows 8/Windows 10等操作系统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543"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提供50个windows服务器授权，含三年病毒特征库升级服务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543"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管理要求</w:t>
            </w: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采用B/S架构管理端，具备设备分组管理、策略制定下发、全网健康状况监测、统一杀毒、统一漏洞修复、网络流量管理、终端软件管理、硬件资产管理以及各种报表和查询等功能。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543"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支持网页访问部署、离线安装包部署、域推送等部署方式，可自定义部署通知邮件及部署通知公告。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543"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支持与终端准入控制系统的控制中心共用，统一管理入口，统一管理功能，简化管理复杂度，提高管理效率。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1543"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防病毒功能</w:t>
            </w: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文件、引导区、内存、注册表、服务、进程、进出文件、目录、压缩文件、网页等恶意代码、恶意样本查杀；支持抢先加载防毒，在系统未加载前启动文件监控，通常情况下不必重启到安全模式也能清除病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543"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支持linux、国产操作系统杀毒。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543"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支持扩展针对Windows XP系统可带来安全隐患的设 计机制进行加固性修复。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543"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对敲诈者病毒提供防护机制，同时提供解密工具，解密工具应为自主研发。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543"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要求产品具备主动防御技术。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543"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病毒库升级管理。要求支持客户端升级时对网络带宽的保护，可以设定服务器端最大升级带宽。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543"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补丁分发与漏洞修复功能</w:t>
            </w: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支持对全网终端系统漏洞发现、补丁智能修复、强制修复等、蓝屏修复、补丁分发流量控制、客户端P2P补丁分发加速等功能。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543"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要求产品生产公司具备热补丁修复功能。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543"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终端支持智能屏蔽过期补丁、与操作系统不兼容的补丁，可以查看或搜索系统已安装的全部补丁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543"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产品具备漏洞集中修复过程中的流量控制和保证带宽,补丁分发支持服务端带宽限流与客户端P2P补丁分发加速，有效节省外网带宽资源。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543"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资产管理</w:t>
            </w: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支持统计特定分组或全网的终端扫描数、终端管理软件安装数、未安装终端数及安装率。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543"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支持正版软件的正版序列号的读取功能，确保软件正版化。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543"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支持软、硬件变更，可以设置软、硬件基线，展示终端软、硬件变动记录。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400" w:hRule="atLeast"/>
          <w:tblCellSpacing w:w="15" w:type="dxa"/>
        </w:trPr>
        <w:tc>
          <w:tcPr>
            <w:tcW w:w="1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运维管控功能</w:t>
            </w: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对终端上传下载速度与流量进行监控；支持对各种外接设备进行外联控制，并根据违规外联发生时内外网连接状态分别设置违规处理措施；支持终端进程的黑白红名单设置；支持网址黑白名单策略；支持对终端各种外设、接口设置使用权限；支持对终端桌面系统的账号密码、本地安全策略、控制面板、屏保与壁纸、浏览器安全、杀毒软件检查进行管控策略配置。 支持主机防火墙功能；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主机防火墙功能</w:t>
            </w: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支持主机防火墙配置功能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1543"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日志报表</w:t>
            </w: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展示全网终端健康状态、报警信息；可方便的查看不健康、亚健康终端列表；展示全网终端木马库日期比例，可方便的查看全网终端木马库的情况；展示全网终端病毒库日期比例，可方便的查看全网终端病毒库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95" w:hRule="atLeast"/>
          <w:tblCellSpacing w:w="15" w:type="dxa"/>
        </w:trPr>
        <w:tc>
          <w:tcPr>
            <w:tcW w:w="1543"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67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要求支持邮件报警，可以设定多种触发条件，满足条件后自动发送邮件到相关人。邮件触发条件至少包括：一定时间内的病毒数量阈值、一定时间内的未知文件数量阈值、重点关注的终端发现病毒、病毒库超期等。</w:t>
            </w:r>
          </w:p>
        </w:tc>
      </w:tr>
    </w:tbl>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3"/>
        <w:keepNext w:val="0"/>
        <w:keepLines w:val="0"/>
        <w:widowControl/>
        <w:suppressLineNumbers w:val="0"/>
        <w:spacing w:before="300" w:beforeAutospacing="0" w:after="150" w:afterAutospacing="0"/>
      </w:pPr>
      <w:r>
        <w:rPr>
          <w:rFonts w:hint="eastAsia" w:ascii="宋体" w:hAnsi="宋体" w:eastAsia="宋体" w:cs="宋体"/>
          <w:sz w:val="24"/>
          <w:szCs w:val="24"/>
        </w:rPr>
        <w:t>★1.5 集成平台</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1.5.1 基础平台</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1.5.1.1</w:t>
      </w:r>
      <w:r>
        <w:rPr>
          <w:rFonts w:hint="eastAsia" w:ascii="宋体" w:hAnsi="宋体" w:eastAsia="宋体" w:cs="宋体"/>
          <w:sz w:val="24"/>
          <w:szCs w:val="24"/>
        </w:rPr>
        <w:t> 应用门户</w:t>
      </w:r>
    </w:p>
    <w:tbl>
      <w:tblPr>
        <w:tblW w:w="860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134"/>
        <w:gridCol w:w="64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2089"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功能名</w:t>
            </w:r>
            <w:r>
              <w:rPr>
                <w:rFonts w:hint="eastAsia" w:ascii="宋体" w:hAnsi="宋体" w:eastAsia="宋体" w:cs="宋体"/>
                <w:sz w:val="24"/>
                <w:szCs w:val="24"/>
                <w:bdr w:val="none" w:color="auto" w:sz="0" w:space="0"/>
              </w:rPr>
              <w:t> </w:t>
            </w:r>
            <w:r>
              <w:rPr>
                <w:rStyle w:val="8"/>
                <w:rFonts w:hint="eastAsia" w:ascii="宋体" w:hAnsi="宋体" w:eastAsia="宋体" w:cs="宋体"/>
                <w:sz w:val="24"/>
                <w:szCs w:val="24"/>
                <w:bdr w:val="none" w:color="auto" w:sz="0" w:space="0"/>
              </w:rPr>
              <w:t> 称</w:t>
            </w:r>
          </w:p>
        </w:tc>
        <w:tc>
          <w:tcPr>
            <w:tcW w:w="6430"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需求说明与技术参数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2089"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Web</w:t>
            </w:r>
          </w:p>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应用门户</w:t>
            </w: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提供统一的基于B/S的Web版医院应用门户平台；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提供基于Web的界面集成功能；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支持基于角色的首页自定义功能；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支持基于角色的动态应用菜单功能及权限管理功能；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提供用户注册与认证统一服务，实现与HIS、EMR等应用的单点登录功能；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提供消息处理功能。</w:t>
            </w:r>
          </w:p>
        </w:tc>
      </w:tr>
    </w:tbl>
    <w:p>
      <w:pPr>
        <w:pStyle w:val="5"/>
        <w:keepNext w:val="0"/>
        <w:keepLines w:val="0"/>
        <w:widowControl/>
        <w:suppressLineNumbers w:val="0"/>
        <w:spacing w:before="60" w:beforeAutospacing="0" w:after="6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Style w:val="8"/>
          <w:rFonts w:hint="eastAsia" w:ascii="宋体" w:hAnsi="宋体" w:eastAsia="宋体" w:cs="宋体"/>
          <w:sz w:val="24"/>
          <w:szCs w:val="24"/>
        </w:rPr>
        <w:t> </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1.5.1.2</w:t>
      </w:r>
      <w:r>
        <w:rPr>
          <w:rFonts w:hint="eastAsia" w:ascii="宋体" w:hAnsi="宋体" w:eastAsia="宋体" w:cs="宋体"/>
          <w:sz w:val="24"/>
          <w:szCs w:val="24"/>
        </w:rPr>
        <w:t> 平台运维管理</w:t>
      </w:r>
    </w:p>
    <w:tbl>
      <w:tblPr>
        <w:tblW w:w="860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134"/>
        <w:gridCol w:w="64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2089"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功能名</w:t>
            </w:r>
            <w:r>
              <w:rPr>
                <w:rFonts w:hint="eastAsia" w:ascii="宋体" w:hAnsi="宋体" w:eastAsia="宋体" w:cs="宋体"/>
                <w:sz w:val="24"/>
                <w:szCs w:val="24"/>
                <w:bdr w:val="none" w:color="auto" w:sz="0" w:space="0"/>
              </w:rPr>
              <w:t> </w:t>
            </w:r>
            <w:r>
              <w:rPr>
                <w:rStyle w:val="8"/>
                <w:rFonts w:hint="eastAsia" w:ascii="宋体" w:hAnsi="宋体" w:eastAsia="宋体" w:cs="宋体"/>
                <w:sz w:val="24"/>
                <w:szCs w:val="24"/>
                <w:bdr w:val="none" w:color="auto" w:sz="0" w:space="0"/>
              </w:rPr>
              <w:t> 称</w:t>
            </w:r>
          </w:p>
        </w:tc>
        <w:tc>
          <w:tcPr>
            <w:tcW w:w="6430"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需求说明与技术参数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配置管理</w:t>
            </w: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提供人员注册与用户注册管理；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提供机构注册与科室注册管理；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提供服务注册与服务授权管理；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提供服务流程配置及服务调用监控功能；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提供应用注册及应用功能模块注册功能。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安全管理</w:t>
            </w: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需可以提供节点认证功能，加强对平台接入；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提供审计管理功能；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支持隐私数据的过滤控制与管理。</w:t>
            </w:r>
          </w:p>
        </w:tc>
      </w:tr>
    </w:tbl>
    <w:p>
      <w:pPr>
        <w:pStyle w:val="5"/>
        <w:keepNext w:val="0"/>
        <w:keepLines w:val="0"/>
        <w:widowControl/>
        <w:suppressLineNumbers w:val="0"/>
        <w:spacing w:before="60" w:beforeAutospacing="0" w:after="6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1.5.1.3</w:t>
      </w:r>
      <w:r>
        <w:rPr>
          <w:rFonts w:hint="eastAsia" w:ascii="宋体" w:hAnsi="宋体" w:eastAsia="宋体" w:cs="宋体"/>
          <w:sz w:val="24"/>
          <w:szCs w:val="24"/>
        </w:rPr>
        <w:t> 标准管理</w:t>
      </w:r>
    </w:p>
    <w:tbl>
      <w:tblPr>
        <w:tblW w:w="860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134"/>
        <w:gridCol w:w="64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2089"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功能名</w:t>
            </w:r>
            <w:r>
              <w:rPr>
                <w:rFonts w:hint="eastAsia" w:ascii="宋体" w:hAnsi="宋体" w:eastAsia="宋体" w:cs="宋体"/>
                <w:sz w:val="24"/>
                <w:szCs w:val="24"/>
                <w:bdr w:val="none" w:color="auto" w:sz="0" w:space="0"/>
              </w:rPr>
              <w:t> </w:t>
            </w:r>
            <w:r>
              <w:rPr>
                <w:rStyle w:val="8"/>
                <w:rFonts w:hint="eastAsia" w:ascii="宋体" w:hAnsi="宋体" w:eastAsia="宋体" w:cs="宋体"/>
                <w:sz w:val="24"/>
                <w:szCs w:val="24"/>
                <w:bdr w:val="none" w:color="auto" w:sz="0" w:space="0"/>
              </w:rPr>
              <w:t> 称</w:t>
            </w:r>
          </w:p>
        </w:tc>
        <w:tc>
          <w:tcPr>
            <w:tcW w:w="6430"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需求说明与技术参数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标准管理</w:t>
            </w: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提供数据元、数据集的定义与管理；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提供数据集标准的发布、导入和导出功能；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消息管理</w:t>
            </w: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提供服务消息和文档消息的定义与管理；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支持HLV2、V3、CDA，以及自定义格式的消息模板定义；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提供基于模板的消息示例导出功能；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089"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字典管理</w:t>
            </w: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提供国际标准、国家标准、行业标准、医院标准和自定义数据字典标准的管理功能；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提供字典的注册服务功能；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支持中心字典和业务系统私有字典的分别管理。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共享文档管理</w:t>
            </w: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提供电子病历共享文档的模板定义和管理功能；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提供共享文档的导出功能。</w:t>
            </w:r>
          </w:p>
        </w:tc>
      </w:tr>
    </w:tbl>
    <w:p>
      <w:pPr>
        <w:pStyle w:val="5"/>
        <w:keepNext w:val="0"/>
        <w:keepLines w:val="0"/>
        <w:widowControl/>
        <w:suppressLineNumbers w:val="0"/>
        <w:spacing w:before="60" w:beforeAutospacing="0" w:after="6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Style w:val="8"/>
          <w:rFonts w:hint="eastAsia" w:ascii="宋体" w:hAnsi="宋体" w:eastAsia="宋体" w:cs="宋体"/>
          <w:sz w:val="24"/>
          <w:szCs w:val="24"/>
        </w:rPr>
        <w:t> </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1.5.1.4</w:t>
      </w:r>
      <w:r>
        <w:rPr>
          <w:rFonts w:hint="eastAsia" w:ascii="宋体" w:hAnsi="宋体" w:eastAsia="宋体" w:cs="宋体"/>
          <w:sz w:val="24"/>
          <w:szCs w:val="24"/>
        </w:rPr>
        <w:t> 主数据管理</w:t>
      </w:r>
    </w:p>
    <w:tbl>
      <w:tblPr>
        <w:tblW w:w="860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131"/>
        <w:gridCol w:w="64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2086"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功能名</w:t>
            </w:r>
            <w:r>
              <w:rPr>
                <w:rFonts w:hint="eastAsia" w:ascii="宋体" w:hAnsi="宋体" w:eastAsia="宋体" w:cs="宋体"/>
                <w:sz w:val="24"/>
                <w:szCs w:val="24"/>
                <w:bdr w:val="none" w:color="auto" w:sz="0" w:space="0"/>
              </w:rPr>
              <w:t> </w:t>
            </w:r>
            <w:r>
              <w:rPr>
                <w:rStyle w:val="8"/>
                <w:rFonts w:hint="eastAsia" w:ascii="宋体" w:hAnsi="宋体" w:eastAsia="宋体" w:cs="宋体"/>
                <w:sz w:val="24"/>
                <w:szCs w:val="24"/>
                <w:bdr w:val="none" w:color="auto" w:sz="0" w:space="0"/>
              </w:rPr>
              <w:t> 称</w:t>
            </w:r>
          </w:p>
        </w:tc>
        <w:tc>
          <w:tcPr>
            <w:tcW w:w="6433"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需求说明与技术参数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2086"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主数据管理</w:t>
            </w:r>
          </w:p>
        </w:tc>
        <w:tc>
          <w:tcPr>
            <w:tcW w:w="643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提供注册管理临床医疗基本术语和编码规范，例如：疾病术语编码、标准药品编码、诊疗项目编码、医用耗材编码等等；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086"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支持数据字典的注册、更新、订阅发布服务，包括标准字典和业务字典；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6"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支持基于统一数据字典的映射功能和翻转服务；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086"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基础服务</w:t>
            </w:r>
          </w:p>
        </w:tc>
        <w:tc>
          <w:tcPr>
            <w:tcW w:w="643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需能够提供遵循标准的患者、医疗卫生服务人员、医疗卫生机构（科室）、术语注册服务；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2086"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需能够提供遵循标准的HL7消息转换服务、中心字典上传服务、厂家字典上传服务、中心字典查询服务、字典转换服务；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086"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需能够提供遵循标准的webService 代 理服务、.com 代 理服务、通用数据库操作服务。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6"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字典管理</w:t>
            </w:r>
          </w:p>
        </w:tc>
        <w:tc>
          <w:tcPr>
            <w:tcW w:w="643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提供数据字典等标准的管理功能；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6"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提供中心字典及私有字典的管理及对照功能；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6"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标准协议采用XML格式，并支持XSD数据校验功能；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6"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支持国际HL7 CDA Level3标准体系。</w:t>
            </w:r>
          </w:p>
        </w:tc>
      </w:tr>
    </w:tbl>
    <w:p>
      <w:pPr>
        <w:pStyle w:val="5"/>
        <w:keepNext w:val="0"/>
        <w:keepLines w:val="0"/>
        <w:widowControl/>
        <w:suppressLineNumbers w:val="0"/>
        <w:spacing w:before="60" w:beforeAutospacing="0" w:after="6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Style w:val="8"/>
          <w:rFonts w:hint="eastAsia" w:ascii="宋体" w:hAnsi="宋体" w:eastAsia="宋体" w:cs="宋体"/>
          <w:sz w:val="24"/>
          <w:szCs w:val="24"/>
        </w:rPr>
        <w:t> </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1.5.1.5</w:t>
      </w:r>
      <w:r>
        <w:rPr>
          <w:rFonts w:hint="eastAsia" w:ascii="宋体" w:hAnsi="宋体" w:eastAsia="宋体" w:cs="宋体"/>
          <w:sz w:val="24"/>
          <w:szCs w:val="24"/>
        </w:rPr>
        <w:t> 患者主索引</w:t>
      </w:r>
    </w:p>
    <w:tbl>
      <w:tblPr>
        <w:tblW w:w="860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134"/>
        <w:gridCol w:w="64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2089"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功能名</w:t>
            </w:r>
            <w:r>
              <w:rPr>
                <w:rFonts w:hint="eastAsia" w:ascii="宋体" w:hAnsi="宋体" w:eastAsia="宋体" w:cs="宋体"/>
                <w:sz w:val="24"/>
                <w:szCs w:val="24"/>
                <w:bdr w:val="none" w:color="auto" w:sz="0" w:space="0"/>
              </w:rPr>
              <w:t> </w:t>
            </w:r>
            <w:r>
              <w:rPr>
                <w:rStyle w:val="8"/>
                <w:rFonts w:hint="eastAsia" w:ascii="宋体" w:hAnsi="宋体" w:eastAsia="宋体" w:cs="宋体"/>
                <w:sz w:val="24"/>
                <w:szCs w:val="24"/>
                <w:bdr w:val="none" w:color="auto" w:sz="0" w:space="0"/>
              </w:rPr>
              <w:t> 称</w:t>
            </w:r>
          </w:p>
        </w:tc>
        <w:tc>
          <w:tcPr>
            <w:tcW w:w="6430"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需求说明与技术参数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089"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病人主索引</w:t>
            </w: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提供患者信息注册、信息匹配、主索引更新与发布、主索引注销等功能；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提供病人健康的注册、更换、注销等功能；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提供主索引合并功能；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提供主索引注册、更新、匹配、查询等组件服务；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提供健康卡的注册、更换、注销等组件服务；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提供主索引匹配机制的参数与权重配置功能。</w:t>
            </w:r>
          </w:p>
        </w:tc>
      </w:tr>
    </w:tbl>
    <w:p>
      <w:pPr>
        <w:pStyle w:val="5"/>
        <w:keepNext w:val="0"/>
        <w:keepLines w:val="0"/>
        <w:widowControl/>
        <w:suppressLineNumbers w:val="0"/>
        <w:spacing w:before="60" w:beforeAutospacing="0" w:after="6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Style w:val="8"/>
          <w:rFonts w:hint="eastAsia" w:ascii="宋体" w:hAnsi="宋体" w:eastAsia="宋体" w:cs="宋体"/>
          <w:sz w:val="24"/>
          <w:szCs w:val="24"/>
        </w:rPr>
        <w:t> </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1.5.1.6</w:t>
      </w:r>
      <w:r>
        <w:rPr>
          <w:rFonts w:hint="eastAsia" w:ascii="宋体" w:hAnsi="宋体" w:eastAsia="宋体" w:cs="宋体"/>
          <w:sz w:val="24"/>
          <w:szCs w:val="24"/>
        </w:rPr>
        <w:t> 单点登录</w:t>
      </w:r>
    </w:p>
    <w:tbl>
      <w:tblPr>
        <w:tblW w:w="860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134"/>
        <w:gridCol w:w="64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rHeight w:val="360" w:hRule="atLeast"/>
          <w:tblCellSpacing w:w="15" w:type="dxa"/>
        </w:trPr>
        <w:tc>
          <w:tcPr>
            <w:tcW w:w="2089"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功能名</w:t>
            </w:r>
            <w:r>
              <w:rPr>
                <w:rFonts w:hint="eastAsia" w:ascii="宋体" w:hAnsi="宋体" w:eastAsia="宋体" w:cs="宋体"/>
                <w:sz w:val="24"/>
                <w:szCs w:val="24"/>
                <w:bdr w:val="none" w:color="auto" w:sz="0" w:space="0"/>
              </w:rPr>
              <w:t> </w:t>
            </w:r>
            <w:r>
              <w:rPr>
                <w:rStyle w:val="8"/>
                <w:rFonts w:hint="eastAsia" w:ascii="宋体" w:hAnsi="宋体" w:eastAsia="宋体" w:cs="宋体"/>
                <w:sz w:val="24"/>
                <w:szCs w:val="24"/>
                <w:bdr w:val="none" w:color="auto" w:sz="0" w:space="0"/>
              </w:rPr>
              <w:t> 称</w:t>
            </w:r>
          </w:p>
        </w:tc>
        <w:tc>
          <w:tcPr>
            <w:tcW w:w="6430"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需求说明与技术参数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089"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单点登录</w:t>
            </w: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提供基于统一身份认证机制的单点登录系统，用户只经过一次身份认证即可访问不同的业务系统；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提供用户管理、访问控制和单点登陆等方面的服务；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支持通过反向 代 理和PLUG-IN两种方式实现单点登录功能的能力；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门户系统提供多种身份认证方式，例如：用户名和密码、CA认证、Token认证、WAP身份认证、资源敏感的认证或者自行开发的认证等方式；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支持直接利用已有系统中的用户账户信息，进行身份认证；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支持通过过门户系统实现对同域中主要应用系统单点登录功能；</w:t>
            </w:r>
          </w:p>
        </w:tc>
      </w:tr>
    </w:tbl>
    <w:p>
      <w:pPr>
        <w:pStyle w:val="5"/>
        <w:keepNext w:val="0"/>
        <w:keepLines w:val="0"/>
        <w:widowControl/>
        <w:suppressLineNumbers w:val="0"/>
        <w:spacing w:before="60" w:beforeAutospacing="0" w:after="6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1.5.2交换平台</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1.5.2.1</w:t>
      </w:r>
      <w:r>
        <w:rPr>
          <w:rFonts w:hint="eastAsia" w:ascii="宋体" w:hAnsi="宋体" w:eastAsia="宋体" w:cs="宋体"/>
          <w:sz w:val="24"/>
          <w:szCs w:val="24"/>
        </w:rPr>
        <w:t> 数据采集工具（ETL）</w:t>
      </w:r>
    </w:p>
    <w:tbl>
      <w:tblPr>
        <w:tblW w:w="860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134"/>
        <w:gridCol w:w="64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2089"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功能名</w:t>
            </w:r>
            <w:r>
              <w:rPr>
                <w:rFonts w:hint="eastAsia" w:ascii="宋体" w:hAnsi="宋体" w:eastAsia="宋体" w:cs="宋体"/>
                <w:sz w:val="24"/>
                <w:szCs w:val="24"/>
                <w:bdr w:val="none" w:color="auto" w:sz="0" w:space="0"/>
              </w:rPr>
              <w:t> </w:t>
            </w:r>
            <w:r>
              <w:rPr>
                <w:rStyle w:val="8"/>
                <w:rFonts w:hint="eastAsia" w:ascii="宋体" w:hAnsi="宋体" w:eastAsia="宋体" w:cs="宋体"/>
                <w:sz w:val="24"/>
                <w:szCs w:val="24"/>
                <w:bdr w:val="none" w:color="auto" w:sz="0" w:space="0"/>
              </w:rPr>
              <w:t> 称</w:t>
            </w:r>
          </w:p>
        </w:tc>
        <w:tc>
          <w:tcPr>
            <w:tcW w:w="6430"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需求说明与技术参数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数据采集工具</w:t>
            </w:r>
          </w:p>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（ETL）</w:t>
            </w: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支持多种数据库类型的数据源采集配置；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提供基于ETL的抽取、转换、翻转等操作采集脚本；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支持基于数据日志采集、接口采集等多种数据采集方式；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支持SQL语句采集、文档附件采集、FTP文件采集；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可根据数据集内容分组建立多个数据采集模型模式；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1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数据采集内容包含卫生事件、病历摘要、就诊记录、门诊病历、住院病历、护理病历、电子处方、电子医嘱、检验报告、检查报告、手麻记录、超声报告、内镜报告、病理报告、心电图、门诊业务、住院业务、质量数据、医技数据等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根据数据标准提供门诊病历、住院病历、护理病历、医嘱、检验检查报告等诊疗数据的采集脚本和接口；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根据数据标准提供门诊业务、住院业务、质量数据、医技数据等运行管理指标数据的采集脚本和接口；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可生成数据采集的记录日志；可根据日志跟踪解决数据采集错误；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支持增量数据采集，自动采集同步新产生的数据；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支持不同数据设置不同频率、不同时段、不同采集接口、不同adapter接口；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提供与医院HIS、EMR等系统数据采集的接口配置功能；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9"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支持数据质量的校验。</w:t>
            </w:r>
          </w:p>
        </w:tc>
      </w:tr>
    </w:tbl>
    <w:p>
      <w:pPr>
        <w:pStyle w:val="5"/>
        <w:keepNext w:val="0"/>
        <w:keepLines w:val="0"/>
        <w:widowControl/>
        <w:suppressLineNumbers w:val="0"/>
        <w:spacing w:before="60" w:beforeAutospacing="0" w:after="6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1.5.2.2</w:t>
      </w:r>
      <w:r>
        <w:rPr>
          <w:rFonts w:hint="eastAsia" w:ascii="宋体" w:hAnsi="宋体" w:eastAsia="宋体" w:cs="宋体"/>
          <w:sz w:val="24"/>
          <w:szCs w:val="24"/>
        </w:rPr>
        <w:t> 服务总线（ESB）</w:t>
      </w:r>
    </w:p>
    <w:tbl>
      <w:tblPr>
        <w:tblW w:w="860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133"/>
        <w:gridCol w:w="64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2088"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功能名</w:t>
            </w:r>
            <w:r>
              <w:rPr>
                <w:rFonts w:hint="eastAsia" w:ascii="宋体" w:hAnsi="宋体" w:eastAsia="宋体" w:cs="宋体"/>
                <w:sz w:val="24"/>
                <w:szCs w:val="24"/>
                <w:bdr w:val="none" w:color="auto" w:sz="0" w:space="0"/>
              </w:rPr>
              <w:t> </w:t>
            </w:r>
            <w:r>
              <w:rPr>
                <w:rStyle w:val="8"/>
                <w:rFonts w:hint="eastAsia" w:ascii="宋体" w:hAnsi="宋体" w:eastAsia="宋体" w:cs="宋体"/>
                <w:sz w:val="24"/>
                <w:szCs w:val="24"/>
                <w:bdr w:val="none" w:color="auto" w:sz="0" w:space="0"/>
              </w:rPr>
              <w:t> 称</w:t>
            </w:r>
          </w:p>
        </w:tc>
        <w:tc>
          <w:tcPr>
            <w:tcW w:w="6431"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需求说明与技术参数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200" w:hRule="atLeast"/>
          <w:tblCellSpacing w:w="15" w:type="dxa"/>
        </w:trPr>
        <w:tc>
          <w:tcPr>
            <w:tcW w:w="2088"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服务引擎</w:t>
            </w:r>
          </w:p>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（ESB）</w:t>
            </w: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遵循SOA设 计原则和技术标准，能够构建标准的企业服务</w:t>
            </w:r>
          </w:p>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总线平台，提供松耦合模式，将业务逻辑和应用逻辑、数据逻辑等分离开；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具有跨队列、消息 代 理和数据转换一体化的面向服务架构，有成熟的适配器，可将不同的后端应用数据和数据库抽象成一致的对象模型；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能提供统一的数据交互开发运行环境，以创建和扩展图形化数据转换业务流程建模，能提供基于XML表示方式，可同时进行图形化和基于代码或文档的开发工作，为服务提供远程调用支持。提供服务卸载和更新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能提供创建定制适配器、消息、业务服务、业务操作和业务流程以及数据转换的向导；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支持应用系统之间各功能服务和接口的调用权限管理，提供应用节点与应用节点之间，应用节点到接口服务之间的权限控制，以保证数据交换的合法性；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支持WebService服务、socket服务、消息服务的多种类型服务的接入和输出；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提供基于规则的数据发布/订阅服务和SQL、对象访问支持；也提供基于多路由的消息队列选择和传输；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满足平台数据交互高并发、大数据量、实时性高等需求，保持高性能运行；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可提供基于业务流程的流程配置服务，定制化服务配置。并可提供远程调用服务和分布式服务调用，并实现负载均衡，故障转移等基本功能；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支持对每一个消息传输环节的监控和审核，对于数据传输状况有较灵活的反馈服务，具有自动补传、重传等功能；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10"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具有可配置的管理系统，以支持业务行为监控和商业智能。可以和第三方的应用系统管理软件协同工作，具有基于门户的中央管理配置信息、业务流程消息管理工具，消息浏览器、业务流程监控查看工具、事件管理和报警、以及端对端的跨应用消息跟踪工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支持应用节点和接口服务的统一配置管理，监控平台应能对各接口调用历史进行负载和响应时间分析，以便通过集成平台来一步优化性能。 集成平台配置管理系统应能支持数据协议和公用代码标准化管理；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提供基于集成平台的二次开发环境。</w:t>
            </w:r>
          </w:p>
        </w:tc>
      </w:tr>
    </w:tbl>
    <w:p>
      <w:pPr>
        <w:pStyle w:val="5"/>
        <w:keepNext w:val="0"/>
        <w:keepLines w:val="0"/>
        <w:widowControl/>
        <w:suppressLineNumbers w:val="0"/>
        <w:spacing w:before="60" w:beforeAutospacing="0" w:after="6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1.5.2.3</w:t>
      </w:r>
      <w:r>
        <w:rPr>
          <w:rFonts w:hint="eastAsia" w:ascii="宋体" w:hAnsi="宋体" w:eastAsia="宋体" w:cs="宋体"/>
          <w:sz w:val="24"/>
          <w:szCs w:val="24"/>
        </w:rPr>
        <w:t> 消息引擎</w:t>
      </w:r>
    </w:p>
    <w:tbl>
      <w:tblPr>
        <w:tblW w:w="860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133"/>
        <w:gridCol w:w="64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2088"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功能名</w:t>
            </w:r>
            <w:r>
              <w:rPr>
                <w:rFonts w:hint="eastAsia" w:ascii="宋体" w:hAnsi="宋体" w:eastAsia="宋体" w:cs="宋体"/>
                <w:sz w:val="24"/>
                <w:szCs w:val="24"/>
                <w:bdr w:val="none" w:color="auto" w:sz="0" w:space="0"/>
              </w:rPr>
              <w:t> </w:t>
            </w:r>
            <w:r>
              <w:rPr>
                <w:rStyle w:val="8"/>
                <w:rFonts w:hint="eastAsia" w:ascii="宋体" w:hAnsi="宋体" w:eastAsia="宋体" w:cs="宋体"/>
                <w:sz w:val="24"/>
                <w:szCs w:val="24"/>
                <w:bdr w:val="none" w:color="auto" w:sz="0" w:space="0"/>
              </w:rPr>
              <w:t> 称</w:t>
            </w:r>
          </w:p>
        </w:tc>
        <w:tc>
          <w:tcPr>
            <w:tcW w:w="6431"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需求说明与技术参数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2088"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消息引擎</w:t>
            </w: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提供HL7与XML消息等交换协议的配置、转换、对照功能；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提供HL7消息与自定义xml消息的协议转换服务组件；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提供基于内容和规则的消息路由机制；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提供基于规则的消息发布/订阅机制；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100" w:hRule="atLeast"/>
          <w:tblCellSpacing w:w="15" w:type="dxa"/>
        </w:trPr>
        <w:tc>
          <w:tcPr>
            <w:tcW w:w="2088"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支持各种工业标准如外部消息引擎：MQ和JMS，系统可以和企业中其他的消息总线结合；为实现支持异构环境的灵活性，可以和Java和.Net互操作；支持聚合、Web服务协议和标准，包括XML、WSDL、SOAP、UDDI和BPEL4WS；支持其他的公共工业标准如J2EE、JDBC、ODBC和COM。</w:t>
            </w:r>
          </w:p>
        </w:tc>
      </w:tr>
    </w:tbl>
    <w:p>
      <w:pPr>
        <w:pStyle w:val="5"/>
        <w:keepNext w:val="0"/>
        <w:keepLines w:val="0"/>
        <w:widowControl/>
        <w:suppressLineNumbers w:val="0"/>
        <w:spacing w:before="60" w:beforeAutospacing="0" w:after="60" w:afterAutospacing="0"/>
      </w:pPr>
      <w:r>
        <w:rPr>
          <w:rFonts w:hint="eastAsia" w:ascii="宋体" w:hAnsi="宋体" w:eastAsia="宋体" w:cs="宋体"/>
          <w:b w:val="0"/>
          <w:sz w:val="24"/>
          <w:szCs w:val="24"/>
        </w:rPr>
        <w:t> </w:t>
      </w:r>
    </w:p>
    <w:p>
      <w:pPr>
        <w:pStyle w:val="5"/>
        <w:keepNext w:val="0"/>
        <w:keepLines w:val="0"/>
        <w:widowControl/>
        <w:suppressLineNumbers w:val="0"/>
        <w:spacing w:before="60" w:beforeAutospacing="0" w:after="60" w:afterAutospacing="0"/>
        <w:ind w:left="0" w:firstLine="405"/>
      </w:pPr>
      <w:r>
        <w:rPr>
          <w:rFonts w:hint="eastAsia" w:ascii="宋体" w:hAnsi="宋体" w:eastAsia="宋体" w:cs="宋体"/>
          <w:b w:val="0"/>
          <w:sz w:val="24"/>
          <w:szCs w:val="24"/>
        </w:rPr>
        <w:t>1.5.2.4</w:t>
      </w:r>
      <w:r>
        <w:rPr>
          <w:rFonts w:hint="eastAsia" w:ascii="宋体" w:hAnsi="宋体" w:eastAsia="宋体" w:cs="宋体"/>
          <w:sz w:val="24"/>
          <w:szCs w:val="24"/>
        </w:rPr>
        <w:t> 集成监控</w:t>
      </w:r>
    </w:p>
    <w:tbl>
      <w:tblPr>
        <w:tblW w:w="860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133"/>
        <w:gridCol w:w="64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2088"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功能名</w:t>
            </w:r>
            <w:r>
              <w:rPr>
                <w:rFonts w:hint="eastAsia" w:ascii="宋体" w:hAnsi="宋体" w:eastAsia="宋体" w:cs="宋体"/>
                <w:sz w:val="24"/>
                <w:szCs w:val="24"/>
                <w:bdr w:val="none" w:color="auto" w:sz="0" w:space="0"/>
              </w:rPr>
              <w:t> </w:t>
            </w:r>
            <w:r>
              <w:rPr>
                <w:rStyle w:val="8"/>
                <w:rFonts w:hint="eastAsia" w:ascii="宋体" w:hAnsi="宋体" w:eastAsia="宋体" w:cs="宋体"/>
                <w:sz w:val="24"/>
                <w:szCs w:val="24"/>
                <w:bdr w:val="none" w:color="auto" w:sz="0" w:space="0"/>
              </w:rPr>
              <w:t> 称</w:t>
            </w:r>
          </w:p>
        </w:tc>
        <w:tc>
          <w:tcPr>
            <w:tcW w:w="6431" w:type="dxa"/>
            <w:tcBorders>
              <w:top w:val="nil"/>
              <w:left w:val="nil"/>
              <w:bottom w:val="nil"/>
              <w:right w:val="nil"/>
            </w:tcBorders>
            <w:shd w:val="clear" w:color="auto" w:fill="D8D8D8"/>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jc w:val="center"/>
            </w:pPr>
            <w:r>
              <w:rPr>
                <w:rStyle w:val="8"/>
                <w:rFonts w:hint="eastAsia" w:ascii="宋体" w:hAnsi="宋体" w:eastAsia="宋体" w:cs="宋体"/>
                <w:sz w:val="24"/>
                <w:szCs w:val="24"/>
                <w:bdr w:val="none" w:color="auto" w:sz="0" w:space="0"/>
              </w:rPr>
              <w:t>需求说明与技术参数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20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采集监控</w:t>
            </w: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可生成数据采集的记录日志，记录数据采集节点、采集范围、采集内容、 采集时间、错误原因等信息，根据日志看跟踪解决数据采集错误；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400" w:hRule="atLeast"/>
          <w:tblCellSpacing w:w="15" w:type="dxa"/>
        </w:trPr>
        <w:tc>
          <w:tcPr>
            <w:tcW w:w="20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服务监控</w:t>
            </w:r>
          </w:p>
        </w:tc>
        <w:tc>
          <w:tcPr>
            <w:tcW w:w="64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能提供数据交换服务监控，可监控统计所有数据交换服务性能，可按照域、节点、时间角度统计服务最大响应时间、最小响应时间、平均响应时间、总次数，提供服务分析调优。针对异常记录，可追踪异常发生节点、该节点的输入输出、错误信息提示，准确掌握错误，精准修复。且可统计监控平台接入层的调用次数，接入点名  称，访问IP，总体相应时间，调用时间分布 等信息。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415" w:hRule="atLeast"/>
          <w:tblCellSpacing w:w="15" w:type="dxa"/>
        </w:trPr>
        <w:tc>
          <w:tcPr>
            <w:tcW w:w="208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75" w:beforeAutospacing="0" w:after="150" w:afterAutospacing="0" w:line="300" w:lineRule="atLeast"/>
              <w:jc w:val="center"/>
            </w:pPr>
            <w:r>
              <w:rPr>
                <w:rFonts w:hint="eastAsia" w:ascii="宋体" w:hAnsi="宋体" w:eastAsia="宋体" w:cs="宋体"/>
                <w:sz w:val="24"/>
                <w:szCs w:val="24"/>
                <w:bdr w:val="none" w:color="auto" w:sz="0" w:space="0"/>
              </w:rPr>
              <w:t>集群监控</w:t>
            </w:r>
          </w:p>
        </w:tc>
        <w:tc>
          <w:tcPr>
            <w:tcW w:w="6431" w:type="dxa"/>
            <w:tcBorders>
              <w:top w:val="nil"/>
              <w:left w:val="nil"/>
              <w:bottom w:val="nil"/>
              <w:right w:val="nil"/>
            </w:tcBorders>
            <w:shd w:val="clear" w:color="auto" w:fill="FFFFFF"/>
            <w:tcMar>
              <w:top w:w="75" w:type="dxa"/>
              <w:left w:w="75" w:type="dxa"/>
              <w:bottom w:w="75" w:type="dxa"/>
              <w:right w:w="75" w:type="dxa"/>
            </w:tcMar>
            <w:vAlign w:val="top"/>
          </w:tcPr>
          <w:p>
            <w:pPr>
              <w:pStyle w:val="6"/>
              <w:keepNext w:val="0"/>
              <w:keepLines w:val="0"/>
              <w:widowControl/>
              <w:suppressLineNumbers w:val="0"/>
              <w:spacing w:before="75" w:beforeAutospacing="0" w:after="150" w:afterAutospacing="0" w:line="300" w:lineRule="atLeast"/>
            </w:pPr>
            <w:r>
              <w:rPr>
                <w:rFonts w:hint="eastAsia" w:ascii="宋体" w:hAnsi="宋体" w:eastAsia="宋体" w:cs="宋体"/>
                <w:sz w:val="24"/>
                <w:szCs w:val="24"/>
                <w:bdr w:val="none" w:color="auto" w:sz="0" w:space="0"/>
              </w:rPr>
              <w:t>集群监控：支持对服务器集群监控和查询，监控服务器CPU、内存使用率、JVM监控、事件异常等信息，并按事件类型一般、警告、错误类型汇总。可设置监控指标的警告阈值、报警阈值、报警方式。可以时间-指标的方式形成趋势图参看历史数据，以饼图的形式查看瞬时数据。对事件监控支持查看时间、类型、节点信息。并提供调优工具等；可满足多服务器之间的负载均衡分配和性能调优。</w:t>
            </w:r>
          </w:p>
        </w:tc>
      </w:tr>
    </w:tbl>
    <w:p>
      <w:pPr>
        <w:pStyle w:val="5"/>
        <w:keepNext w:val="0"/>
        <w:keepLines w:val="0"/>
        <w:widowControl/>
        <w:suppressLineNumbers w:val="0"/>
        <w:spacing w:before="60" w:beforeAutospacing="0" w:after="6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Style w:val="8"/>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2、HIS/EMR数据库服务器</w:t>
      </w:r>
    </w:p>
    <w:tbl>
      <w:tblPr>
        <w:tblW w:w="830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875"/>
        <w:gridCol w:w="64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389"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参数要求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品  牌</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国产品  牌，自主研发，与关键业务存储设备同一品  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类型</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机架式服务器，≦2U</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处理器</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配置≧4个英特尔至强金牌5120或更高，≧2.2GHZ主频，≧14核CPU，≧19.25M三级缓存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内存</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配置≧512GB内存；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内存支持功能</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支持内存保护、支持ECC、单颗粒数据纠错（SDDC）、内存镜像、故障DIMM标识隔离等。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硬盘</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0" w:afterAutospacing="0"/>
              <w:jc w:val="both"/>
            </w:pPr>
            <w:r>
              <w:rPr>
                <w:rFonts w:hint="eastAsia" w:ascii="宋体" w:hAnsi="宋体" w:eastAsia="宋体" w:cs="宋体"/>
                <w:sz w:val="24"/>
                <w:szCs w:val="24"/>
                <w:bdr w:val="none" w:color="auto" w:sz="0" w:space="0"/>
              </w:rPr>
              <w:t>配置≧4块600GB 10K SAS 2.5寸热插拨硬盘，该机型最大支持≧25个硬盘，支持Flash存储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阵列控制器</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配置12Gb/s磁盘阵列卡，支持RAID0,1,5,6,10,50,60，1GB Cache；支持超级电容；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网口</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2个千兆以太网口，2个万兆光口（含光模块）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HBA卡</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配置≧2块单口8GB FC HBA卡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I/O扩展</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最大支持扩展≧11个PCIe接口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电源、风扇</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配置冗余电源、冗余风扇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57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可维护性</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集成系统管理处理器支持：</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1、自动服务器重启、风扇监视和控制、电源监控、温度监控、启动/关闭、按序重启、本地固件更新、错误日志，可通过可视化工具提供系统未来状况的可视显示；</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2、具有图形管理界面及其他高级管理功能；配置独立的远程管理控制端口，支持远程监控图形界面, 可实现与操作系统无关的远程对服务器的完全控制，包括远程的开机、关机、重启、虚拟软驱、虚拟光驱等操作；</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3、支持黑匣子功能。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维保</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提供至少三年原厂维保服务,提供国内400技术支持热线；福建省内设有备件库</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3、PACS数据库及应用服务器</w:t>
      </w:r>
    </w:p>
    <w:tbl>
      <w:tblPr>
        <w:tblW w:w="830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875"/>
        <w:gridCol w:w="64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389"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参数要求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品  牌</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国产品  牌，自主研发，与关键业务存储设备同一品  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类型</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机架式服务器，≦2U</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处理器</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配置≧4个英特尔至强金牌5115或更高，≧2.4GHZ主频，≧10核CPU，≧13.75M三级缓存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内存</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配置≧128GB内存；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内存支持功能</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支持内存保护、支持ECC、单颗粒数据纠错（SDDC）、内存镜像、故障DIMM标识隔离等。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硬盘</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0" w:afterAutospacing="0"/>
            </w:pPr>
            <w:r>
              <w:rPr>
                <w:rFonts w:hint="eastAsia" w:ascii="宋体" w:hAnsi="宋体" w:eastAsia="宋体" w:cs="宋体"/>
                <w:sz w:val="24"/>
                <w:szCs w:val="24"/>
                <w:bdr w:val="none" w:color="auto" w:sz="0" w:space="0"/>
              </w:rPr>
              <w:t>配置≧4块600GB 10K SAS 2.5寸热插拨硬盘，该机型最大支持≧25个硬盘，支持Flash存储，支持双M.2 SSDs；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阵列控制器</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配置12Gb/s磁盘阵列卡，支持RAID0,1,5,6,10,50,60，1GB Cache；支持超级电容；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网口</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2个千兆以太网口，2个万兆光口（含光模块）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HBA卡</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配置≧2块单口8GB FC HBA卡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I/O扩展</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最大支持扩展≧11个PCIe接口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电源、风扇</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配置冗余电源、冗余风扇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57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可维护性</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集成系统管理处理器支持：</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1、自动服务器重启、风扇监视和控制、电源监控、温度监控、启动/关闭、按序重启、本地固件更新、错误日志，可通过可视化工具提供系统未来状况的可视显示；</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2、具有图形管理界面及其他高级管理功能；配置独立的远程管理控制端口，支持远程监控图形界面, 可实现与操作系统无关的远程对服务器的完全控制，包括远程的开机、关机、重启、虚拟软驱、虚拟光驱等操作；</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3、支持黑匣子功能。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维保</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提供至少三年原厂维保服务,提供国内400技术支持热线；福建省内设有备件库</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4、虚拟化服务器</w:t>
      </w:r>
    </w:p>
    <w:tbl>
      <w:tblPr>
        <w:tblW w:w="830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875"/>
        <w:gridCol w:w="64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389"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参数要求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品  牌</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国产品  牌，自主研发，与关键业务存储设备同一品  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类型</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机架式服务器，≦2U</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处理器★</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配置≧4个英特尔至强金牌5120或更高，≧2.2GHZ主频，≧14核CPU，≧19.25M三级缓存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内存★</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配置≧512GB内存；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内存支持功能</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支持内存保护、支持ECC、单颗粒数据纠错（SDDC）、内存镜像、故障DIMM标识隔离等。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硬盘</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0" w:afterAutospacing="0"/>
            </w:pPr>
            <w:r>
              <w:rPr>
                <w:rFonts w:hint="eastAsia" w:ascii="宋体" w:hAnsi="宋体" w:eastAsia="宋体" w:cs="宋体"/>
                <w:sz w:val="24"/>
                <w:szCs w:val="24"/>
                <w:bdr w:val="none" w:color="auto" w:sz="0" w:space="0"/>
              </w:rPr>
              <w:t>配置≧4块600GB 10K SAS 2.5寸热插拨硬盘，该机型最大支持≧25个硬盘，支持Flash存储，支持双M.2 SSDs；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阵列控制器</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配置12Gb/s磁盘阵列卡，支持RAID0,1,5,6,10,50,60，1GB Cache；支持超级电容；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网口</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6个千兆以太网口，2个万兆光口（含光模块）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HBA卡</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配置≧2块单口8GB FC HBA卡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I/O扩展</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最大支持扩展≧11个PCIe接口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电源、风扇</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配置冗余电源、冗余风扇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570"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可维护性</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集成系统管理处理器支持：</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1、自动服务器重启、风扇监视和控制、电源监控、温度监控、启动/关闭、按序重启、本地固件更新、错误日志，可通过可视化工具提供系统未来状况的可视显示；</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2、具有图形管理界面及其他高级管理功能；配置独立的远程管理控制端口，支持远程监控图形界面, 可实现与操作系统无关的远程对服务器的完全控制，包括远程的开机、关机、重启、虚拟软驱、虚拟光驱等操作；</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3、支持黑匣子功能。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3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维保</w:t>
            </w:r>
          </w:p>
        </w:tc>
        <w:tc>
          <w:tcPr>
            <w:tcW w:w="638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提供至少三年原厂维保服务,提供国内400技术支持热线；福建省内设有备件库</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5、SAN光纤交换机</w:t>
      </w:r>
    </w:p>
    <w:tbl>
      <w:tblPr>
        <w:tblW w:w="836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876"/>
        <w:gridCol w:w="64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831" w:type="dxa"/>
            <w:tcBorders>
              <w:top w:val="nil"/>
              <w:left w:val="nil"/>
              <w:bottom w:val="nil"/>
              <w:right w:val="nil"/>
            </w:tcBorders>
            <w:shd w:val="clear" w:color="auto" w:fill="BEBEBE"/>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448" w:type="dxa"/>
            <w:tcBorders>
              <w:top w:val="nil"/>
              <w:left w:val="nil"/>
              <w:bottom w:val="nil"/>
              <w:right w:val="nil"/>
            </w:tcBorders>
            <w:shd w:val="clear" w:color="auto" w:fill="BEBEBE"/>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参数要求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品  牌</w:t>
            </w:r>
          </w:p>
        </w:tc>
        <w:tc>
          <w:tcPr>
            <w:tcW w:w="64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国产品  牌，自主研发，与关键业务存储设备同一品  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端口速率</w:t>
            </w:r>
          </w:p>
        </w:tc>
        <w:tc>
          <w:tcPr>
            <w:tcW w:w="64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支持2、4和8Gbit/sec</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8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配置要求</w:t>
            </w:r>
          </w:p>
        </w:tc>
        <w:tc>
          <w:tcPr>
            <w:tcW w:w="64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8Gbps/FC端口数≧24个，激活≧24口，含≧24个8Gb多模SFP，配置24条DLC/PC-DLC/PC-多模-10m-A1a.2-2mm-42mm DLC-OM3光跳线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3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维保</w:t>
            </w:r>
          </w:p>
        </w:tc>
        <w:tc>
          <w:tcPr>
            <w:tcW w:w="64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提供至少三年原厂维保服务,提供国内400技术支持热线；福建省内设有备件库</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6、服务器区接入交换机</w:t>
      </w:r>
    </w:p>
    <w:tbl>
      <w:tblPr>
        <w:tblW w:w="829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439"/>
        <w:gridCol w:w="68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394" w:type="dxa"/>
            <w:tcBorders>
              <w:top w:val="nil"/>
              <w:left w:val="nil"/>
              <w:bottom w:val="nil"/>
              <w:right w:val="nil"/>
            </w:tcBorders>
            <w:shd w:val="clear" w:color="auto" w:fill="BEBEBE"/>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Style w:val="8"/>
                <w:rFonts w:hint="eastAsia" w:ascii="宋体" w:hAnsi="宋体" w:eastAsia="宋体" w:cs="宋体"/>
                <w:sz w:val="24"/>
                <w:szCs w:val="24"/>
              </w:rPr>
              <w:t>指标项</w:t>
            </w:r>
          </w:p>
        </w:tc>
        <w:tc>
          <w:tcPr>
            <w:tcW w:w="6810" w:type="dxa"/>
            <w:tcBorders>
              <w:top w:val="nil"/>
              <w:left w:val="nil"/>
              <w:bottom w:val="nil"/>
              <w:right w:val="nil"/>
            </w:tcBorders>
            <w:shd w:val="clear" w:color="auto" w:fill="BEBEBE"/>
            <w:tcMar>
              <w:top w:w="75" w:type="dxa"/>
              <w:left w:w="765" w:type="dxa"/>
              <w:bottom w:w="75" w:type="dxa"/>
              <w:right w:w="765" w:type="dxa"/>
            </w:tcMar>
            <w:vAlign w:val="center"/>
          </w:tcPr>
          <w:p>
            <w:pPr>
              <w:pStyle w:val="6"/>
              <w:keepNext w:val="0"/>
              <w:keepLines w:val="0"/>
              <w:widowControl/>
              <w:suppressLineNumbers w:val="0"/>
              <w:spacing w:before="0" w:beforeAutospacing="0" w:after="150" w:afterAutospacing="0"/>
              <w:ind w:left="690" w:right="690"/>
            </w:pPr>
            <w:r>
              <w:rPr>
                <w:rStyle w:val="8"/>
                <w:rFonts w:hint="eastAsia" w:ascii="宋体" w:hAnsi="宋体" w:eastAsia="宋体" w:cs="宋体"/>
                <w:sz w:val="24"/>
                <w:szCs w:val="24"/>
              </w:rPr>
              <w:t>参数要求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10"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性能与接口</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交换容量≧1.28Tbps,转发性能≧252Mpps，≧48个10/100/1000Base-T以太网端口，≧4个万兆SFP+接口，≧2个QSFP+接口，配置2个万兆多模模块，2个千兆多模模块。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风道</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采用严格的前后风道设 计，支持冷热风道完全隔离，提升散热的效率，配置电源、风扇框1+1备份，保障业务无间断运行；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745"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支持协议</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支持支持4K个VLAN，QinQ、Mux VLAN、Super VLAN;</w:t>
            </w:r>
          </w:p>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支持静态路由、RIP v1/v2、OSPF、BGP，ISIS，ECMP、路由策略；</w:t>
            </w:r>
          </w:p>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支持IPv6，支持RIPng、OSPFv3、ISISv6、BGP4+等IPv6动态路由协议；支持VRRP、VRRP负载分担、BFD for VRRP，支持 BFD for BGP/IS-IS/OSPF/静态路由；支持IGMP v1/v2/v3、PIM-SM、PIM-DM、PIM-SSM，支持可控组播；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流量分析</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支持sFlow、NetStream流量分析功能，方便监控全网网络流量状态；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可靠性</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支持G.8032标准以太环网保护协议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安全功能</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支持防止DOS、ARP攻击功能、ICMP防攻击、支持CPU保护功能、MFF、DHCP Snooping等安全功能；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虚拟化</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支持堆叠，支持纵向虚拟化，作为纵向子节点零配置即插即用；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10"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节能</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支持绿色节能，支持802.3az能效以太网EEE；</w:t>
            </w:r>
          </w:p>
          <w:p>
            <w:pPr>
              <w:pStyle w:val="6"/>
              <w:keepNext w:val="0"/>
              <w:keepLines w:val="0"/>
              <w:widowControl/>
              <w:suppressLineNumbers w:val="0"/>
              <w:spacing w:before="105" w:beforeAutospacing="0" w:after="150" w:afterAutospacing="0"/>
              <w:ind w:left="15" w:right="60"/>
            </w:pPr>
            <w:r>
              <w:rPr>
                <w:rFonts w:hint="eastAsia" w:ascii="宋体" w:hAnsi="宋体" w:eastAsia="宋体" w:cs="宋体"/>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维保</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提供至少三年原厂维保服务,提供国内400技术支持热线；福建省内设有备件库</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7、DMZ、运维、外网交换机</w:t>
      </w:r>
    </w:p>
    <w:tbl>
      <w:tblPr>
        <w:tblW w:w="829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439"/>
        <w:gridCol w:w="68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394" w:type="dxa"/>
            <w:tcBorders>
              <w:top w:val="nil"/>
              <w:left w:val="nil"/>
              <w:bottom w:val="nil"/>
              <w:right w:val="nil"/>
            </w:tcBorders>
            <w:shd w:val="clear" w:color="auto" w:fill="BEBEBE"/>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Style w:val="8"/>
                <w:rFonts w:hint="eastAsia" w:ascii="宋体" w:hAnsi="宋体" w:eastAsia="宋体" w:cs="宋体"/>
                <w:sz w:val="24"/>
                <w:szCs w:val="24"/>
              </w:rPr>
              <w:t>指标项</w:t>
            </w:r>
          </w:p>
        </w:tc>
        <w:tc>
          <w:tcPr>
            <w:tcW w:w="6810" w:type="dxa"/>
            <w:tcBorders>
              <w:top w:val="nil"/>
              <w:left w:val="nil"/>
              <w:bottom w:val="nil"/>
              <w:right w:val="nil"/>
            </w:tcBorders>
            <w:shd w:val="clear" w:color="auto" w:fill="BEBEBE"/>
            <w:tcMar>
              <w:top w:w="75" w:type="dxa"/>
              <w:left w:w="765" w:type="dxa"/>
              <w:bottom w:w="75" w:type="dxa"/>
              <w:right w:w="765" w:type="dxa"/>
            </w:tcMar>
            <w:vAlign w:val="center"/>
          </w:tcPr>
          <w:p>
            <w:pPr>
              <w:pStyle w:val="6"/>
              <w:keepNext w:val="0"/>
              <w:keepLines w:val="0"/>
              <w:widowControl/>
              <w:suppressLineNumbers w:val="0"/>
              <w:spacing w:before="0" w:beforeAutospacing="0" w:after="150" w:afterAutospacing="0"/>
              <w:ind w:left="690" w:right="690"/>
            </w:pPr>
            <w:r>
              <w:rPr>
                <w:rStyle w:val="8"/>
                <w:rFonts w:hint="eastAsia" w:ascii="宋体" w:hAnsi="宋体" w:eastAsia="宋体" w:cs="宋体"/>
                <w:sz w:val="24"/>
                <w:szCs w:val="24"/>
              </w:rPr>
              <w:t>参数要求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55"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性能与接口</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交换容量≧598Gbps,转发性能≧220Mpps，≧28个10/100/1000Base-T以太网端口，≧4个复用的千兆Combo口，≧4个万兆SFP+，扩展槽位≧1个，支持2端口40G堆叠卡，支持可插拔双电源，配置2个千兆单模光模块；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容量</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支持MAC地址≧64K，ARP表项≧12K，Ipv4 FIB表项≧16K</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745"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支持协议</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支持支持4K个VLAN，QinQ、Mux VLAN、Super VLAN;</w:t>
            </w:r>
          </w:p>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支持静态路由、RIP v1/v2、OSPF、BGP，ISIS，ECMP、路由策略；</w:t>
            </w:r>
          </w:p>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支持IPv6，支持RIPng、OSPFv3、ISISv6、BGP4+等IPv6动态路由协议；支持VRRP、VRRP负载分担、BFD for VRRP，支持 BFD for BGP/IS-IS/OSPF/静态路由；支持IGMP v1/v2/v3、PIM-SM、PIM-DM、PIM-SSM，支持可控组播；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流量分析</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支持IPFIX、sFlow、NetStream流量分析功能，方便监控全网网络流量状态；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0"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可靠性</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支持G.8032标准以太环网保护协议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安全功能</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支持防止DOS、ARP攻击功能、ICMP防攻击、支持CPU保护功能、MFF、DHCP Snooping等安全功能；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虚拟化</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支持堆叠，支持纵向虚拟化，作为纵向子节点零配置即插即用；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10"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节能</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支持绿色节能，支持802.3az能效以太网EEE；</w:t>
            </w:r>
          </w:p>
          <w:p>
            <w:pPr>
              <w:pStyle w:val="6"/>
              <w:keepNext w:val="0"/>
              <w:keepLines w:val="0"/>
              <w:widowControl/>
              <w:suppressLineNumbers w:val="0"/>
              <w:spacing w:before="105" w:beforeAutospacing="0" w:after="150" w:afterAutospacing="0"/>
              <w:ind w:left="15" w:right="60"/>
            </w:pPr>
            <w:r>
              <w:rPr>
                <w:rFonts w:hint="eastAsia" w:ascii="宋体" w:hAnsi="宋体" w:eastAsia="宋体" w:cs="宋体"/>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394"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维保</w:t>
            </w:r>
          </w:p>
        </w:tc>
        <w:tc>
          <w:tcPr>
            <w:tcW w:w="681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提供至少三年原厂维保服务,提供国内400技术支持热线；福建省内设有备件库</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8、关键业务存储设备</w:t>
      </w:r>
    </w:p>
    <w:tbl>
      <w:tblPr>
        <w:tblW w:w="850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893"/>
        <w:gridCol w:w="66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848" w:type="dxa"/>
            <w:tcBorders>
              <w:top w:val="nil"/>
              <w:left w:val="nil"/>
              <w:bottom w:val="nil"/>
              <w:right w:val="nil"/>
            </w:tcBorders>
            <w:shd w:val="clear" w:color="auto" w:fill="BEBEBE"/>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566" w:type="dxa"/>
            <w:tcBorders>
              <w:top w:val="nil"/>
              <w:left w:val="nil"/>
              <w:bottom w:val="nil"/>
              <w:right w:val="nil"/>
            </w:tcBorders>
            <w:shd w:val="clear" w:color="auto" w:fill="BEBEBE"/>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参数要求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品  牌</w:t>
            </w:r>
          </w:p>
        </w:tc>
        <w:tc>
          <w:tcPr>
            <w:tcW w:w="65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国产品  牌，与HIS/EMR数据库服务器同一品  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厂商资质</w:t>
            </w:r>
          </w:p>
        </w:tc>
        <w:tc>
          <w:tcPr>
            <w:tcW w:w="65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拥有自主知识产权,具有软硬件自主研发能力,保障后续产品的连续性,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10" w:hRule="atLeast"/>
          <w:tblCellSpacing w:w="15" w:type="dxa"/>
        </w:trPr>
        <w:tc>
          <w:tcPr>
            <w:tcW w:w="18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体系架构</w:t>
            </w:r>
          </w:p>
        </w:tc>
        <w:tc>
          <w:tcPr>
            <w:tcW w:w="65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能同时支持IP SAN、FC SAN、NAS，支持SAN和NAS一体化，不需额外配置NAS网关；后续扩展双活功能、异构虚拟化功能，只需要增加license不需要额外购置硬件；同时支持SAN 与NAS 免网关一体化双活。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控制器★</w:t>
            </w:r>
          </w:p>
        </w:tc>
        <w:tc>
          <w:tcPr>
            <w:tcW w:w="65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配置两个阵列控制器，控制器缓存≧128G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8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高速缓存</w:t>
            </w:r>
          </w:p>
        </w:tc>
        <w:tc>
          <w:tcPr>
            <w:tcW w:w="65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最大支持可扩展≧1024G，一体化统一存储缓存，不含任何性能加速模块或NAS网关缓存、FlashCache、PAM卡，SSD Cache等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RAID级别</w:t>
            </w:r>
          </w:p>
        </w:tc>
        <w:tc>
          <w:tcPr>
            <w:tcW w:w="65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支持RAID  0、1、3、5、6、10等磁盘容错方式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磁盘配置★</w:t>
            </w:r>
          </w:p>
        </w:tc>
        <w:tc>
          <w:tcPr>
            <w:tcW w:w="65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配置6块600GB SSD SAS硬盘单元，19块600GB 10K RPM SAS硬盘单元，25块1.2TB 10K RPM SAS硬盘单元；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最大磁盘数量</w:t>
            </w:r>
          </w:p>
        </w:tc>
        <w:tc>
          <w:tcPr>
            <w:tcW w:w="65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可扩展最大磁盘数量≧500块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10" w:hRule="atLeast"/>
          <w:tblCellSpacing w:w="15" w:type="dxa"/>
        </w:trPr>
        <w:tc>
          <w:tcPr>
            <w:tcW w:w="18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主机接口</w:t>
            </w:r>
          </w:p>
        </w:tc>
        <w:tc>
          <w:tcPr>
            <w:tcW w:w="65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配置≧8×8Gb FC，支持8Gbps FC、1Gbps iSCSI、10Gbps iSCSI、10Gbps FCoE,16Gbps FC，以及SmartIO(4端口，支持8/16Gb FC、10GE和FCoE)；具备控制器在线主机接口IO模块热拔插功能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后端接口</w:t>
            </w:r>
          </w:p>
        </w:tc>
        <w:tc>
          <w:tcPr>
            <w:tcW w:w="65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配置4×4×12Gbps SAS3.0磁盘通道；双控最大支持≧12×4×12Gbps SAS3.0磁盘通道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80" w:hRule="atLeast"/>
          <w:tblCellSpacing w:w="15" w:type="dxa"/>
        </w:trPr>
        <w:tc>
          <w:tcPr>
            <w:tcW w:w="18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基本软件</w:t>
            </w:r>
          </w:p>
        </w:tc>
        <w:tc>
          <w:tcPr>
            <w:tcW w:w="65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配置≧256个连接主机的License，集成管理软件：有功能全面，图形化的管理软件，包括：盘阵，卷管理软件。</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配置自动精简软件，有效节省存储空间，提高利用率；</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配置多租户软件，保障各个应用或用户之间的数据隔离不受影响；</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数据迁移软件，通过LUN迁移提供了智能化的数据迁移手段。可以在不中断原有业务的情况下实现将源LUN上的业务完整地迁移到目标LUN上，实现了业务无感知的情况下完成业务迁移。LUN迁移不仅支持存储系统内部的业务迁移，还支持存储系统和与其兼容的异构存储系统之间的业务迁移；</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配置安全删除软件，在删除数据时，可以全0或随机覆盖写来销毁数据；</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配置智能数据分级使用许可；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95" w:hRule="atLeast"/>
          <w:tblCellSpacing w:w="15" w:type="dxa"/>
        </w:trPr>
        <w:tc>
          <w:tcPr>
            <w:tcW w:w="18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块级虚拟化</w:t>
            </w:r>
          </w:p>
        </w:tc>
        <w:tc>
          <w:tcPr>
            <w:tcW w:w="65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具备底层块级虚拟化功能：突破传统RIAD组方式，可以把数据均衡分布在存储的所有硬盘上，并非只限制于同一个RAID组中；无论是增加硬盘还是减少硬盘，数据会自动均衡；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95" w:hRule="atLeast"/>
          <w:tblCellSpacing w:w="15" w:type="dxa"/>
        </w:trPr>
        <w:tc>
          <w:tcPr>
            <w:tcW w:w="18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其它功能</w:t>
            </w:r>
          </w:p>
        </w:tc>
        <w:tc>
          <w:tcPr>
            <w:tcW w:w="65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支持服务质量QoS控制（IO优先级调度技术、IO流量控制技术、IO性能保证技术）、缓存分区、自动分级存储、存储双活、异构虚拟化、快照、克隆、在线数据重删、数据复制等；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可靠性</w:t>
            </w:r>
          </w:p>
        </w:tc>
        <w:tc>
          <w:tcPr>
            <w:tcW w:w="65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冗余电源、风扇、控制器、缓存断电保护功能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48"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维保</w:t>
            </w:r>
          </w:p>
        </w:tc>
        <w:tc>
          <w:tcPr>
            <w:tcW w:w="656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提供至少三年原厂维保服务,提供国内400技术支持热线；福建省内设有备件库</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9、PACS影像存储设备</w:t>
      </w:r>
    </w:p>
    <w:tbl>
      <w:tblPr>
        <w:tblW w:w="850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892"/>
        <w:gridCol w:w="66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847" w:type="dxa"/>
            <w:tcBorders>
              <w:top w:val="nil"/>
              <w:left w:val="nil"/>
              <w:bottom w:val="nil"/>
              <w:right w:val="nil"/>
            </w:tcBorders>
            <w:shd w:val="clear" w:color="auto" w:fill="BEBEBE"/>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567" w:type="dxa"/>
            <w:tcBorders>
              <w:top w:val="nil"/>
              <w:left w:val="nil"/>
              <w:bottom w:val="nil"/>
              <w:right w:val="nil"/>
            </w:tcBorders>
            <w:shd w:val="clear" w:color="auto" w:fill="BEBEBE"/>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参数要求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4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品  牌</w:t>
            </w:r>
          </w:p>
        </w:tc>
        <w:tc>
          <w:tcPr>
            <w:tcW w:w="656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国产品  牌，自主研发，与关键业务存储设备同一品  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4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厂商资质</w:t>
            </w:r>
          </w:p>
        </w:tc>
        <w:tc>
          <w:tcPr>
            <w:tcW w:w="656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拥有自主知识产权,具有软硬件自主研发能力,保障后续产品的连续性,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10" w:hRule="atLeast"/>
          <w:tblCellSpacing w:w="15" w:type="dxa"/>
        </w:trPr>
        <w:tc>
          <w:tcPr>
            <w:tcW w:w="184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体系架构</w:t>
            </w:r>
          </w:p>
        </w:tc>
        <w:tc>
          <w:tcPr>
            <w:tcW w:w="656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能同时支持IP SAN、FC SAN、NAS，支持SAN和NAS一体化，不需额外配置NAS网关；后续扩展双活功能、异构虚拟化功能，只需要增加license不需要额外购置硬件；同时支持SAN 与NAS 免网关一体化双活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4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控制器</w:t>
            </w:r>
          </w:p>
        </w:tc>
        <w:tc>
          <w:tcPr>
            <w:tcW w:w="656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配置两个阵列控制器，控制器缓存≧32G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84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高速缓存</w:t>
            </w:r>
          </w:p>
        </w:tc>
        <w:tc>
          <w:tcPr>
            <w:tcW w:w="656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最大支持可扩展≧256G；一体化统一存储缓存，不含任何性能加速模块或NAS网关缓存、FlashCache、PAM卡，SSD Cache等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4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RAID级别</w:t>
            </w:r>
          </w:p>
        </w:tc>
        <w:tc>
          <w:tcPr>
            <w:tcW w:w="656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支持RAID 0、1、3、5、6、10等磁盘容错方式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4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磁盘配置★</w:t>
            </w:r>
          </w:p>
        </w:tc>
        <w:tc>
          <w:tcPr>
            <w:tcW w:w="656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配置12块1.2TB 10K RPM SAS硬盘单元，24块4TB 7.2K RPM NL SAS硬盘单元；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4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最大磁盘数量</w:t>
            </w:r>
          </w:p>
        </w:tc>
        <w:tc>
          <w:tcPr>
            <w:tcW w:w="656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可扩展最大磁盘数量≧500块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10" w:hRule="atLeast"/>
          <w:tblCellSpacing w:w="15" w:type="dxa"/>
        </w:trPr>
        <w:tc>
          <w:tcPr>
            <w:tcW w:w="184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主机接口</w:t>
            </w:r>
          </w:p>
        </w:tc>
        <w:tc>
          <w:tcPr>
            <w:tcW w:w="656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配置≧8×8Gb FC+2×6×GE,，支持8Gbps FC、1Gbps iSCSI、10Gbps iSCSI、10Gbps FCoE,16Gbps FC，以及SmartIO(4端口，支持8/16Gb FC、10GE和FCoE)；具备控制器在线主机接口IO模块热拔插功能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00" w:hRule="atLeast"/>
          <w:tblCellSpacing w:w="15" w:type="dxa"/>
        </w:trPr>
        <w:tc>
          <w:tcPr>
            <w:tcW w:w="184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基本软件</w:t>
            </w:r>
          </w:p>
        </w:tc>
        <w:tc>
          <w:tcPr>
            <w:tcW w:w="656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配置≧256个连接主机的License，集成管理软件：有功能全面，图形化的管理软件，包括：盘阵，卷管理软件。</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配置自动精简软件，有效节省存储空间，提高利用率；</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配置多租户软件，保障各个应用或用户之间的数据隔离不受影响；</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数据迁移软件，通过LUN迁移提供了智能化的数据迁移手段。可以在不中断原有业务的情况下实现将源LUN上的业务完整地迁移到目标LUN上，实现了业务无感知的情况下完成业务迁移。LUN迁移不仅支持存储系统内部的业务迁移，还支持存储系统和与其兼容的异构存储系统之间的业务迁移；</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配置安全删除软件，在删除数据时，可以全0或随机覆盖写来销毁数据；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95" w:hRule="atLeast"/>
          <w:tblCellSpacing w:w="15" w:type="dxa"/>
        </w:trPr>
        <w:tc>
          <w:tcPr>
            <w:tcW w:w="184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块级虚拟化</w:t>
            </w:r>
          </w:p>
        </w:tc>
        <w:tc>
          <w:tcPr>
            <w:tcW w:w="656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具备底层块级虚拟化功能：突破传统RIAD组方式，可以把数据均衡分布在存储的所有硬盘上，并非只限制于同一个RAID组中；无论是增加硬盘还是减少硬盘，数据会自动均衡；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95" w:hRule="atLeast"/>
          <w:tblCellSpacing w:w="15" w:type="dxa"/>
        </w:trPr>
        <w:tc>
          <w:tcPr>
            <w:tcW w:w="184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其它功能</w:t>
            </w:r>
          </w:p>
        </w:tc>
        <w:tc>
          <w:tcPr>
            <w:tcW w:w="656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支持服务质量QoS控制（IO优先级调度技术、IO流量控制技术、IO性能保证技术）、缓存分区、自动分级存储、存储双活、异构虚拟化、快照、克隆、在线数据重删、数据复制等；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84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可靠性</w:t>
            </w:r>
          </w:p>
        </w:tc>
        <w:tc>
          <w:tcPr>
            <w:tcW w:w="656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冗余电源、风扇、控制器、缓存断电保护功能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84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维保</w:t>
            </w:r>
          </w:p>
        </w:tc>
        <w:tc>
          <w:tcPr>
            <w:tcW w:w="6567"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提供至少三年原厂维保服务,提供国内400技术支持热线；福建省内设有备件库</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10、 防火墙</w:t>
      </w:r>
    </w:p>
    <w:tbl>
      <w:tblPr>
        <w:tblW w:w="863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441"/>
        <w:gridCol w:w="71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396" w:type="dxa"/>
            <w:tcBorders>
              <w:top w:val="nil"/>
              <w:left w:val="nil"/>
              <w:bottom w:val="nil"/>
              <w:right w:val="nil"/>
            </w:tcBorders>
            <w:shd w:val="clear" w:color="auto" w:fill="BEBEBE"/>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7153" w:type="dxa"/>
            <w:tcBorders>
              <w:top w:val="nil"/>
              <w:left w:val="nil"/>
              <w:bottom w:val="nil"/>
              <w:right w:val="nil"/>
            </w:tcBorders>
            <w:shd w:val="clear" w:color="auto" w:fill="BEBEBE"/>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参数要求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39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配置要求</w:t>
            </w:r>
          </w:p>
        </w:tc>
        <w:tc>
          <w:tcPr>
            <w:tcW w:w="7153"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采用非X86多核架构，支持交流双电源，千兆电口≧8，千兆光口≧4，配置SSL VPN并发用户≧100个，国密功能，不少于3年IPS，AV，URL过滤特性库升级服务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39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性能要求</w:t>
            </w:r>
          </w:p>
        </w:tc>
        <w:tc>
          <w:tcPr>
            <w:tcW w:w="7153"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吞吐量≧12Gbps，最大并发连接数≧600万，每秒新建连接数≧20万；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39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路由功能</w:t>
            </w:r>
          </w:p>
        </w:tc>
        <w:tc>
          <w:tcPr>
            <w:tcW w:w="7153"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支持静态路由、策略路由、RIP、OSPF、BGP、ISIS等路由协议；支持IPv6协议栈、IPV6穿越技术、IPV6路由协议；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20" w:hRule="atLeast"/>
          <w:tblCellSpacing w:w="15" w:type="dxa"/>
        </w:trPr>
        <w:tc>
          <w:tcPr>
            <w:tcW w:w="139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协议识别</w:t>
            </w:r>
          </w:p>
        </w:tc>
        <w:tc>
          <w:tcPr>
            <w:tcW w:w="7153"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可识别多种应用层协议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39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流量控制</w:t>
            </w:r>
          </w:p>
        </w:tc>
        <w:tc>
          <w:tcPr>
            <w:tcW w:w="7153"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可支持基于应用层协议设置流控策略，包括设置最大带宽、保证带宽、协议流量优先级等；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80" w:hRule="atLeast"/>
          <w:tblCellSpacing w:w="15" w:type="dxa"/>
        </w:trPr>
        <w:tc>
          <w:tcPr>
            <w:tcW w:w="139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数据安全</w:t>
            </w:r>
          </w:p>
        </w:tc>
        <w:tc>
          <w:tcPr>
            <w:tcW w:w="7153"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支持数据防泄露，对传输的文件和内容进行识别过滤，可识别常见文件类型，防止通过修改后缀名的病毒攻击。能对Word、Excel、PPT、PDF等文件的敏感内容进行过滤，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20" w:hRule="atLeast"/>
          <w:tblCellSpacing w:w="15" w:type="dxa"/>
        </w:trPr>
        <w:tc>
          <w:tcPr>
            <w:tcW w:w="139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病毒防护</w:t>
            </w:r>
          </w:p>
        </w:tc>
        <w:tc>
          <w:tcPr>
            <w:tcW w:w="7153"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支持HTTP、HTTPS、DNS、SIP等应用层Flood攻击，支持流量自学习功能，可设置自学习时间，并自动生成DDoS防范策略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55" w:hRule="atLeast"/>
          <w:tblCellSpacing w:w="15" w:type="dxa"/>
        </w:trPr>
        <w:tc>
          <w:tcPr>
            <w:tcW w:w="139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入侵防御</w:t>
            </w:r>
          </w:p>
        </w:tc>
        <w:tc>
          <w:tcPr>
            <w:tcW w:w="7153"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基于特征检测，支持攻击检测和防御；可以支持HTTP、FTP、SMTP、POP3、IMAP、NFS等协议的病毒防护；</w:t>
            </w:r>
          </w:p>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39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智能选路</w:t>
            </w:r>
          </w:p>
        </w:tc>
        <w:tc>
          <w:tcPr>
            <w:tcW w:w="7153"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可根据目的地址智能优选运营商链路，支持主备接口配置以及按比例分配的负载分担方式；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39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威胁管理</w:t>
            </w:r>
          </w:p>
        </w:tc>
        <w:tc>
          <w:tcPr>
            <w:tcW w:w="7153"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支持与大数据智能安全分析系统联动，做态势感知，全网威胁展示，能针对威胁生成阻断策略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396"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维保</w:t>
            </w:r>
          </w:p>
        </w:tc>
        <w:tc>
          <w:tcPr>
            <w:tcW w:w="7153"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提供至少三年原厂维保服务,提供国内400技术支持热线；福建省内设有备件库</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11、准入系统设备</w:t>
      </w:r>
    </w:p>
    <w:tbl>
      <w:tblPr>
        <w:tblW w:w="863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744"/>
        <w:gridCol w:w="6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699" w:type="dxa"/>
            <w:tcBorders>
              <w:top w:val="nil"/>
              <w:left w:val="nil"/>
              <w:bottom w:val="nil"/>
              <w:right w:val="nil"/>
            </w:tcBorders>
            <w:shd w:val="clear" w:color="auto" w:fill="BEBEBE"/>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Style w:val="8"/>
                <w:rFonts w:hint="eastAsia" w:ascii="宋体" w:hAnsi="宋体" w:eastAsia="宋体" w:cs="宋体"/>
                <w:sz w:val="24"/>
                <w:szCs w:val="24"/>
              </w:rPr>
              <w:t>指标项</w:t>
            </w:r>
          </w:p>
        </w:tc>
        <w:tc>
          <w:tcPr>
            <w:tcW w:w="6850" w:type="dxa"/>
            <w:tcBorders>
              <w:top w:val="nil"/>
              <w:left w:val="nil"/>
              <w:bottom w:val="nil"/>
              <w:right w:val="nil"/>
            </w:tcBorders>
            <w:shd w:val="clear" w:color="auto" w:fill="BEBEBE"/>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firstLine="480"/>
            </w:pPr>
            <w:r>
              <w:rPr>
                <w:rStyle w:val="8"/>
                <w:rFonts w:hint="eastAsia" w:ascii="宋体" w:hAnsi="宋体" w:eastAsia="宋体" w:cs="宋体"/>
                <w:sz w:val="24"/>
                <w:szCs w:val="24"/>
              </w:rPr>
              <w:t>参数要求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699"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硬件规格</w:t>
            </w:r>
          </w:p>
        </w:tc>
        <w:tc>
          <w:tcPr>
            <w:tcW w:w="6850"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2U机架式设备，整机支持6Gbps吞吐量，支持5000终端以下环境。1个串口，6个千兆以太网电口，2TB SATA硬盘，双电源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40" w:hRule="atLeast"/>
          <w:tblCellSpacing w:w="15" w:type="dxa"/>
        </w:trPr>
        <w:tc>
          <w:tcPr>
            <w:tcW w:w="1699" w:type="dxa"/>
            <w:vMerge w:val="restart"/>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功能要求</w:t>
            </w:r>
          </w:p>
        </w:tc>
        <w:tc>
          <w:tcPr>
            <w:tcW w:w="6850"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支持终端安全检查失败本地ACL隔离机制，可基于协议、特定端口、端口范围、特定地址、IP范围、URL来控制终端访问权限，从而无需操作交换机达到终端网络控制目的，实现细粒度的访问控制管理，支持不同终端修复区域定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55" w:hRule="atLeast"/>
          <w:tblCellSpacing w:w="15" w:type="dxa"/>
        </w:trPr>
        <w:tc>
          <w:tcPr>
            <w:tcW w:w="1699" w:type="dxa"/>
            <w:vMerge w:val="continue"/>
            <w:tcBorders>
              <w:top w:val="nil"/>
              <w:left w:val="nil"/>
              <w:bottom w:val="nil"/>
              <w:right w:val="nil"/>
            </w:tcBorders>
            <w:shd w:val="clear" w:color="auto" w:fill="FFFFFF"/>
            <w:tcMar>
              <w:top w:w="75" w:type="dxa"/>
              <w:left w:w="165" w:type="dxa"/>
              <w:bottom w:w="75" w:type="dxa"/>
              <w:right w:w="150" w:type="dxa"/>
            </w:tcMar>
            <w:vAlign w:val="center"/>
          </w:tcPr>
          <w:p>
            <w:pPr>
              <w:rPr>
                <w:rFonts w:hint="eastAsia" w:ascii="宋体"/>
                <w:sz w:val="24"/>
                <w:szCs w:val="24"/>
              </w:rPr>
            </w:pPr>
          </w:p>
        </w:tc>
        <w:tc>
          <w:tcPr>
            <w:tcW w:w="6850"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支持入网健康检查策略，策略检查项至少包括：远程桌面、U盘自动运行、防火墙、IP获取方式、文件共享、屏幕保护、空密码、IE代 理；支持终端修复向导，对不合规的终端提供软隔离，并进行修复向导和一键修复功能。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699" w:type="dxa"/>
            <w:vMerge w:val="continue"/>
            <w:tcBorders>
              <w:top w:val="nil"/>
              <w:left w:val="nil"/>
              <w:bottom w:val="nil"/>
              <w:right w:val="nil"/>
            </w:tcBorders>
            <w:shd w:val="clear" w:color="auto" w:fill="FFFFFF"/>
            <w:tcMar>
              <w:top w:w="75" w:type="dxa"/>
              <w:left w:w="165" w:type="dxa"/>
              <w:bottom w:w="75" w:type="dxa"/>
              <w:right w:w="150" w:type="dxa"/>
            </w:tcMar>
            <w:vAlign w:val="center"/>
          </w:tcPr>
          <w:p>
            <w:pPr>
              <w:rPr>
                <w:rFonts w:hint="eastAsia" w:ascii="宋体"/>
                <w:sz w:val="24"/>
                <w:szCs w:val="24"/>
              </w:rPr>
            </w:pPr>
          </w:p>
        </w:tc>
        <w:tc>
          <w:tcPr>
            <w:tcW w:w="6850"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支持802.1X认证技术上基于终端快速认证，与终端安全管理软件客户端联动，无需输入账号快速入网，避免重复输入账号口令。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25" w:hRule="atLeast"/>
          <w:tblCellSpacing w:w="15" w:type="dxa"/>
        </w:trPr>
        <w:tc>
          <w:tcPr>
            <w:tcW w:w="1699" w:type="dxa"/>
            <w:vMerge w:val="continue"/>
            <w:tcBorders>
              <w:top w:val="nil"/>
              <w:left w:val="nil"/>
              <w:bottom w:val="nil"/>
              <w:right w:val="nil"/>
            </w:tcBorders>
            <w:shd w:val="clear" w:color="auto" w:fill="FFFFFF"/>
            <w:tcMar>
              <w:top w:w="75" w:type="dxa"/>
              <w:left w:w="165" w:type="dxa"/>
              <w:bottom w:w="75" w:type="dxa"/>
              <w:right w:w="150" w:type="dxa"/>
            </w:tcMar>
            <w:vAlign w:val="center"/>
          </w:tcPr>
          <w:p>
            <w:pPr>
              <w:rPr>
                <w:rFonts w:hint="eastAsia" w:ascii="宋体"/>
                <w:sz w:val="24"/>
                <w:szCs w:val="24"/>
              </w:rPr>
            </w:pPr>
          </w:p>
        </w:tc>
        <w:tc>
          <w:tcPr>
            <w:tcW w:w="6850"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支持各阶段的容灾及逃生措施，支持双机热备、冷备、一键认证放行、软Bypass、域认证缓冲、第三方认证源异常自动放行逃生方式，保证各阶段的逃生措施。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699" w:type="dxa"/>
            <w:vMerge w:val="continue"/>
            <w:tcBorders>
              <w:top w:val="nil"/>
              <w:left w:val="nil"/>
              <w:bottom w:val="nil"/>
              <w:right w:val="nil"/>
            </w:tcBorders>
            <w:shd w:val="clear" w:color="auto" w:fill="FFFFFF"/>
            <w:tcMar>
              <w:top w:w="75" w:type="dxa"/>
              <w:left w:w="165" w:type="dxa"/>
              <w:bottom w:w="75" w:type="dxa"/>
              <w:right w:w="150" w:type="dxa"/>
            </w:tcMar>
            <w:vAlign w:val="center"/>
          </w:tcPr>
          <w:p>
            <w:pPr>
              <w:rPr>
                <w:rFonts w:hint="eastAsia" w:ascii="宋体"/>
                <w:sz w:val="24"/>
                <w:szCs w:val="24"/>
              </w:rPr>
            </w:pPr>
          </w:p>
        </w:tc>
        <w:tc>
          <w:tcPr>
            <w:tcW w:w="6850"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支持和多种第三方认证源联动认证，至少支持AD、LDAP、Email、HTTP服务器联动认证，实现统一认证管理要求。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699"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功能授权★</w:t>
            </w:r>
          </w:p>
        </w:tc>
        <w:tc>
          <w:tcPr>
            <w:tcW w:w="685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含200个网络安全准入客户端授权，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699" w:type="dxa"/>
            <w:tcBorders>
              <w:top w:val="nil"/>
              <w:left w:val="nil"/>
              <w:bottom w:val="nil"/>
              <w:right w:val="nil"/>
            </w:tcBorders>
            <w:shd w:val="clear" w:color="auto" w:fill="FFFFFF"/>
            <w:tcMar>
              <w:top w:w="75" w:type="dxa"/>
              <w:left w:w="165" w:type="dxa"/>
              <w:bottom w:w="75" w:type="dxa"/>
              <w:right w:w="150" w:type="dxa"/>
            </w:tcMar>
            <w:vAlign w:val="center"/>
          </w:tcPr>
          <w:p>
            <w:pPr>
              <w:pStyle w:val="6"/>
              <w:keepNext w:val="0"/>
              <w:keepLines w:val="0"/>
              <w:widowControl/>
              <w:suppressLineNumbers w:val="0"/>
              <w:spacing w:before="0" w:beforeAutospacing="0" w:after="150" w:afterAutospacing="0"/>
              <w:ind w:left="90" w:right="75"/>
            </w:pPr>
            <w:r>
              <w:rPr>
                <w:rFonts w:hint="eastAsia" w:ascii="宋体" w:hAnsi="宋体" w:eastAsia="宋体" w:cs="宋体"/>
                <w:sz w:val="24"/>
                <w:szCs w:val="24"/>
              </w:rPr>
              <w:t>维保</w:t>
            </w:r>
          </w:p>
        </w:tc>
        <w:tc>
          <w:tcPr>
            <w:tcW w:w="6850" w:type="dxa"/>
            <w:tcBorders>
              <w:top w:val="nil"/>
              <w:left w:val="nil"/>
              <w:bottom w:val="nil"/>
              <w:right w:val="nil"/>
            </w:tcBorders>
            <w:shd w:val="clear" w:color="auto" w:fill="FFFFFF"/>
            <w:tcMar>
              <w:top w:w="75" w:type="dxa"/>
              <w:left w:w="90" w:type="dxa"/>
              <w:bottom w:w="75" w:type="dxa"/>
              <w:right w:w="135" w:type="dxa"/>
            </w:tcMar>
            <w:vAlign w:val="center"/>
          </w:tcPr>
          <w:p>
            <w:pPr>
              <w:pStyle w:val="6"/>
              <w:keepNext w:val="0"/>
              <w:keepLines w:val="0"/>
              <w:widowControl/>
              <w:suppressLineNumbers w:val="0"/>
              <w:spacing w:before="0" w:beforeAutospacing="0" w:after="150" w:afterAutospacing="0"/>
              <w:ind w:left="15" w:right="60"/>
            </w:pPr>
            <w:r>
              <w:rPr>
                <w:rFonts w:hint="eastAsia" w:ascii="宋体" w:hAnsi="宋体" w:eastAsia="宋体" w:cs="宋体"/>
                <w:sz w:val="24"/>
                <w:szCs w:val="24"/>
              </w:rPr>
              <w:t>提供至少三年维保服务，软件三年升级服务</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12、堡垒机</w:t>
      </w:r>
    </w:p>
    <w:tbl>
      <w:tblPr>
        <w:tblW w:w="853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694"/>
        <w:gridCol w:w="68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649"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795"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参数要求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64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硬件规格</w:t>
            </w:r>
          </w:p>
        </w:tc>
        <w:tc>
          <w:tcPr>
            <w:tcW w:w="679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1U机架式设备，单电源，4G内存，1T硬盘容量，标准配置6个以太网千兆电口，支持1个接口扩展槽位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64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性能要求</w:t>
            </w:r>
          </w:p>
        </w:tc>
        <w:tc>
          <w:tcPr>
            <w:tcW w:w="679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最大图形并发连接数不少于100，最大字符并发连接数不少于300，实配100个资产管理授权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4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用户账号管理</w:t>
            </w:r>
          </w:p>
        </w:tc>
        <w:tc>
          <w:tcPr>
            <w:tcW w:w="679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针对同一账户可同时设置多种角色，同时审计管理员角色支持键盘事件查看、审计数据下载的细颗粒度控制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64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身份认证管理</w:t>
            </w:r>
          </w:p>
        </w:tc>
        <w:tc>
          <w:tcPr>
            <w:tcW w:w="679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支持混合认证功能，即一个账号同时可以设置两类认证方式，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blCellSpacing w:w="15" w:type="dxa"/>
        </w:trPr>
        <w:tc>
          <w:tcPr>
            <w:tcW w:w="164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目标设备管理</w:t>
            </w:r>
          </w:p>
        </w:tc>
        <w:tc>
          <w:tcPr>
            <w:tcW w:w="679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支持用户自定义设备改密配置流程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4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资源访问</w:t>
            </w:r>
          </w:p>
        </w:tc>
        <w:tc>
          <w:tcPr>
            <w:tcW w:w="679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对于图形、字符操作会话支持多人会话共管，当前运维人员可以邀请其他用户参与当前操作会话协助操作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64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密码管理</w:t>
            </w:r>
          </w:p>
        </w:tc>
        <w:tc>
          <w:tcPr>
            <w:tcW w:w="679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支持密码拨测功能，即在系统完成密码修改之后，自动进行新密码登录拨测，以便进一步校验密码修改结果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64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权限管理</w:t>
            </w:r>
          </w:p>
        </w:tc>
        <w:tc>
          <w:tcPr>
            <w:tcW w:w="679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支持在访问控制规则对RDP磁盘映射、剪切板上/下行的使用进行控制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164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操作审计</w:t>
            </w:r>
          </w:p>
        </w:tc>
        <w:tc>
          <w:tcPr>
            <w:tcW w:w="679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针对图形会话审计记录支持会话切片管理功能，管理员可自定义审计记录的时间戳对记录进行切片查看，在审计结果中，高危命令以不同颜色进行高亮显示，支持对采用FTP、SFTP、RDP剪切板方式进行文件传输的文件数据进行数据备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64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用户自助管理</w:t>
            </w:r>
          </w:p>
        </w:tc>
        <w:tc>
          <w:tcPr>
            <w:tcW w:w="679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支持普通用户根据个人习惯设定RDP会话磁盘映射盘符、默认分辨率访问参数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5" w:hRule="atLeast"/>
          <w:tblCellSpacing w:w="15" w:type="dxa"/>
        </w:trPr>
        <w:tc>
          <w:tcPr>
            <w:tcW w:w="164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可靠性</w:t>
            </w:r>
          </w:p>
        </w:tc>
        <w:tc>
          <w:tcPr>
            <w:tcW w:w="679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支持双机主备热备部署模式，支持配置文件及审计数据全同步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5" w:hRule="atLeast"/>
          <w:tblCellSpacing w:w="15" w:type="dxa"/>
        </w:trPr>
        <w:tc>
          <w:tcPr>
            <w:tcW w:w="164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维保</w:t>
            </w:r>
          </w:p>
        </w:tc>
        <w:tc>
          <w:tcPr>
            <w:tcW w:w="679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提供至少三年保修服务、软件升级服务、远程支持服务</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13、数据库审计设备</w:t>
      </w:r>
    </w:p>
    <w:tbl>
      <w:tblPr>
        <w:tblW w:w="818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559"/>
        <w:gridCol w:w="66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514"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585"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参数要求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管理结构</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中文界面，B/S架构，采用HTTPS方式远程安全管理，无需安装客户端。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硬件规格</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 1U机型，2个USB接口，1个千兆管理口，6合千兆电口，1个接口扩展槽位，2T SATA硬盘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处理性能</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SQL处理性能≧15000条/秒，纯数据库网络吞吐量秒峰值≧100Mbit/秒，在线日志量10亿条以上，归档日志量100亿条以上。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部署方式</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在旁路部署模式下，通过TAP、SPAN等技术将网络流量映射到审计设备，对数据库流量进行审计和告警。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数据库自动发现</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支持数据库自动发现。设备无需添加、即插即用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05"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支持的数据库类型</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支持主流数据库：Oracle、SQL Server、MySQL、DB2、PostgreSQL、sybase、达梦（DM）、人大金仓kingbase、Oscar</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审计内容</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支持操作类型（DDL、DML、DCL等）、操作时间、执行时长、操作成功与失败、操作对象（表、函数、存储过程名  称）、SQL语句；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复杂SQL语句支持</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支持准确审计长SQL语句，有效分割、准确审计多SQL语句，准确审计绑定变量的SQL语句；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应用用户关联审计</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以完全精确方式，审计到应用端相关信息，包括应用用户等。支持Weblogic、tomcat、Websphere、Jboss等主流的应用服务器。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数据库漏洞攻击监测</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可扩展支持对基于数据库漏洞进行攻击行为监测和告警，支持400个以上的数据库漏洞攻击规则库。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SQL注入检测</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可扩展支持通过模式匹配的方式对SQL访问进行监测与告警,判断是否为可疑SQL注入；提供SQL注入特征库；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告警策略</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支持敏感语句告警策略（黑白名单效果）。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响应方式</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 根据不同的安全级别采用不同的响应方式，包括记录、告警；告警方式包括：邮件、短信、SYSLOG、SNMP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80"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审计展示</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支持操作记录的信息：审计结果中包括：告警级别、事件发生时间、客户端IP、目标数据库IP、操作类型、客户端MAC地址、客户端端口号、返回状态、结果信息、客户端执行命令等详细信息内容。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IP别名</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支持客户单IP建立别名，并支持导入导出功能，所有涉及客户端ip页面均显示业务化ip名  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报表</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 支持风险分析：根据敏感语句、sql注入、漏洞攻击、风险操作等维度以时间维度统计数据库分析信息。支持规则命中查询、支持风险检索。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报表展示</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基于总体概况、性能、会话、语句、风险多层面展现报表。支持图表结合展现，支持柱形图、饼状图、条形图，双轴折线图等多种统计图展现形式。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性能评估工具</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生成性能分析报告，直观展现审计环境的性能压力；基于处理会话在全部会话中的占比,评估流量、语句量性能指标使用情况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自动诊断工具</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 自动诊断功能，方便售后人员基于诊断报告定位产品问题；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10"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设备安全性</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根据三权分立的原则。提供系统管理员、安全管理员和审计管理员不同的用户身份验证。系统针对产品操作人员的操作行为进行审计记录，可以由审计管理员进行查询，具有自身安全审计功能。提供审计数据管理功能，能够实现对审计数据的自动备份、删除和导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0" w:hRule="atLeast"/>
          <w:tblCellSpacing w:w="15" w:type="dxa"/>
        </w:trPr>
        <w:tc>
          <w:tcPr>
            <w:tcW w:w="151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维保</w:t>
            </w:r>
          </w:p>
        </w:tc>
        <w:tc>
          <w:tcPr>
            <w:tcW w:w="65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提供至少三年保修服务、至少三年软件更新服务、远程支持服务。</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14、台式计算机</w:t>
      </w:r>
    </w:p>
    <w:tbl>
      <w:tblPr>
        <w:tblW w:w="841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588"/>
        <w:gridCol w:w="6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rHeight w:val="360" w:hRule="atLeast"/>
          <w:tblCellSpacing w:w="15" w:type="dxa"/>
        </w:trPr>
        <w:tc>
          <w:tcPr>
            <w:tcW w:w="1543"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781"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tblCellSpacing w:w="15" w:type="dxa"/>
        </w:trPr>
        <w:tc>
          <w:tcPr>
            <w:tcW w:w="1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配置要求</w:t>
            </w:r>
          </w:p>
        </w:tc>
        <w:tc>
          <w:tcPr>
            <w:tcW w:w="678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CPU:≧Intel I3，内存配置：≧4GB；硬盘：≧1TB ；19寸LCD液晶显示器；Win7操作系统，至少三年原厂保修</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Style w:val="8"/>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15、台式计算机</w:t>
      </w:r>
    </w:p>
    <w:tbl>
      <w:tblPr>
        <w:tblW w:w="841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584"/>
        <w:gridCol w:w="68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539"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785"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250" w:hRule="atLeast"/>
          <w:tblCellSpacing w:w="15" w:type="dxa"/>
        </w:trPr>
        <w:tc>
          <w:tcPr>
            <w:tcW w:w="153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配置要求</w:t>
            </w:r>
          </w:p>
        </w:tc>
        <w:tc>
          <w:tcPr>
            <w:tcW w:w="67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 CPU:≧Intel I5处理器，内存配置:≧8GB；存储：≧1TB SATA硬盘×2块；独立显卡：≧2G、DVD-RW光驱；千兆网卡；21.5寸LCD液晶显示器；Win7操作系统，至少三年原厂保修</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（为满足医学影像日常工作需要，需为台式计算机配备专用显示器与图像采集卡）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410" w:hRule="atLeast"/>
          <w:tblCellSpacing w:w="15" w:type="dxa"/>
        </w:trPr>
        <w:tc>
          <w:tcPr>
            <w:tcW w:w="153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专用显示器配置要求</w:t>
            </w:r>
          </w:p>
        </w:tc>
        <w:tc>
          <w:tcPr>
            <w:tcW w:w="67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规格：2MP灰阶医用显示器，屏幕尺寸：≧19.6英寸LED，分辨率：1600×1200/1200×1600，可以横竖屏转换，灰阶：≧4096，像素大小：≧0.249MM，对比度：≧1200：1，最大亮度：1100cd/m2, 至少三年保修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560" w:hRule="atLeast"/>
          <w:tblCellSpacing w:w="15" w:type="dxa"/>
        </w:trPr>
        <w:tc>
          <w:tcPr>
            <w:tcW w:w="153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图像采集卡配置要求</w:t>
            </w:r>
          </w:p>
        </w:tc>
        <w:tc>
          <w:tcPr>
            <w:tcW w:w="678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采集信号： 标准PAL、NTSC或SECAM制信号</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最大分辨率：≧768×576</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最大点频： ≧15M</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采集格式： 支持RGB32、RGB24、RGB16、RGB15、YUV422、黑白图像 GRAY8等图像格式</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输入路数： 六路复合视频输入选择或二路Y/C（5+6,3+4）</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输入视频： 9位A/D，有梳状滤波器，抗混叠滤波器，亮度、对比度、色度、饱和度软件可调</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镜像采集： 具有硬件镜像反转功能</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外触发输入： 支持(TTL低电平)</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信号检测： 可自动检测信号源的行场特性</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缩放功能： 硬件完成输入图像比例缩放</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视频压缩： 可同时进行MPEG2音视频压缩采集（DVD标准）</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维保：提供至少一年保修服务</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16、条码打印机</w:t>
      </w:r>
    </w:p>
    <w:tbl>
      <w:tblPr>
        <w:tblW w:w="841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590"/>
        <w:gridCol w:w="68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545"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779"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265" w:hRule="atLeast"/>
          <w:tblCellSpacing w:w="15" w:type="dxa"/>
        </w:trPr>
        <w:tc>
          <w:tcPr>
            <w:tcW w:w="154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配置要求</w:t>
            </w:r>
          </w:p>
        </w:tc>
        <w:tc>
          <w:tcPr>
            <w:tcW w:w="677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机型：热敏/热转印</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幅面：≧108mm</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打印速度：≧102mm/秒</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分辨率：≧203dpi</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首页输出时间：≦4秒</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内存容量：≧8MB</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纸盒类型及容量：卷筒或折叠纸、标签纸、tag 材料、收据纸和腕带；</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最大介质卷直径≧127 毫米</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打印介质：卷筒或折叠纸、标签纸、tag 材料、收据纸和腕带</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接口：USB、串口、并口</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耗材：碳带、腕带</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配件：CD-ROM光盘、USB数据线、电源线、交流电源适配器、使用说明书等</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维保：整机至少三年保修，打印头保修至少一年，1年上门服务。</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17、条码扫描器</w:t>
      </w:r>
    </w:p>
    <w:tbl>
      <w:tblPr>
        <w:tblW w:w="841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590"/>
        <w:gridCol w:w="68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545"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779"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435" w:hRule="atLeast"/>
          <w:tblCellSpacing w:w="15" w:type="dxa"/>
        </w:trPr>
        <w:tc>
          <w:tcPr>
            <w:tcW w:w="1545"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配置要求</w:t>
            </w:r>
          </w:p>
        </w:tc>
        <w:tc>
          <w:tcPr>
            <w:tcW w:w="6779"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扫描速度：每秒≧100条扫描线</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扫描介质：所有标准一维条码</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接口：USB</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电源： 5 VDC ± 0.25 V</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尺寸：长扫描速度 每秒100条扫描线</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扫描介质：所有标准一维条码</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接口：USB</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电源：5 VDC ± 0.25 V</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尺寸 ：≦长165mm x 宽65mm x高80mm</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维保：提供至少一年保修服务</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6"/>
        <w:keepNext w:val="0"/>
        <w:keepLines w:val="0"/>
        <w:widowControl/>
        <w:suppressLineNumbers w:val="0"/>
        <w:spacing w:before="0" w:beforeAutospacing="0" w:after="150" w:afterAutospacing="0"/>
      </w:pPr>
      <w:r>
        <w:rPr>
          <w:rStyle w:val="8"/>
          <w:rFonts w:hint="eastAsia" w:ascii="宋体" w:hAnsi="宋体" w:eastAsia="宋体" w:cs="宋体"/>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18、针式打印机</w:t>
      </w:r>
    </w:p>
    <w:tbl>
      <w:tblPr>
        <w:tblW w:w="841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589"/>
        <w:gridCol w:w="68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544"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780"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840" w:hRule="atLeast"/>
          <w:tblCellSpacing w:w="15" w:type="dxa"/>
        </w:trPr>
        <w:tc>
          <w:tcPr>
            <w:tcW w:w="1544"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配置要求</w:t>
            </w:r>
          </w:p>
        </w:tc>
        <w:tc>
          <w:tcPr>
            <w:tcW w:w="6780"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产品类型：1、平推针式打印机，1.6mm超强钢制机架；2、打印介质：厚度≧0.58mm，最大进纸宽度≧297mm；3、接口类型：USB、IEEE-1284并行接口，可选内置网络；4、打印速度：450字/秒、4亿次/针；5、色带寿命1000万字符色带带有卡扣；走纸速度达8英寸/秒；6、具有断针补偿技术、针轮换技术（延长打印针寿命一倍、既打既撕功能）；7、复印能力：1+6；8、最大缓存为256KB；9、平均无故障时间：20000小时以上；10、特殊服务：针对单位业务需求不定期进行打印机技术版本升级；11、保修：整机至少三年（含打印头）维修，本地厂家授权维修站，并提供定期上门维护保养。</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19、黑白激光打印机</w:t>
      </w:r>
    </w:p>
    <w:tbl>
      <w:tblPr>
        <w:tblW w:w="841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588"/>
        <w:gridCol w:w="6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543"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781"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10" w:hRule="atLeast"/>
          <w:tblCellSpacing w:w="15" w:type="dxa"/>
        </w:trPr>
        <w:tc>
          <w:tcPr>
            <w:tcW w:w="1543"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配置要求</w:t>
            </w:r>
          </w:p>
        </w:tc>
        <w:tc>
          <w:tcPr>
            <w:tcW w:w="6781"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黑白激光打印机，打印幅面：A4，最高分辨率≧：600×600dpi；黑白打印速度A4为：≧18ppm，Letter为：≧15ppm。CPU≧266MHZ。内存：≧2MB。接口类型：USB2.0。提供至少三年保修服务</w:t>
            </w:r>
          </w:p>
        </w:tc>
      </w:tr>
    </w:tbl>
    <w:p>
      <w:pPr>
        <w:pStyle w:val="4"/>
        <w:keepNext w:val="0"/>
        <w:keepLines w:val="0"/>
        <w:widowControl/>
        <w:suppressLineNumbers w:val="0"/>
        <w:spacing w:before="300" w:beforeAutospacing="0" w:after="150" w:afterAutospacing="0"/>
      </w:pPr>
      <w:r>
        <w:rPr>
          <w:rFonts w:hint="eastAsia" w:ascii="宋体" w:hAnsi="宋体" w:eastAsia="宋体" w:cs="宋体"/>
          <w:b w:val="0"/>
          <w:sz w:val="24"/>
          <w:szCs w:val="24"/>
        </w:rPr>
        <w:t> </w:t>
      </w:r>
    </w:p>
    <w:p>
      <w:pPr>
        <w:pStyle w:val="4"/>
        <w:keepNext w:val="0"/>
        <w:keepLines w:val="0"/>
        <w:widowControl/>
        <w:suppressLineNumbers w:val="0"/>
        <w:spacing w:before="300" w:beforeAutospacing="0" w:after="150" w:afterAutospacing="0"/>
      </w:pPr>
      <w:r>
        <w:rPr>
          <w:rFonts w:hint="eastAsia" w:ascii="宋体" w:hAnsi="宋体" w:eastAsia="宋体" w:cs="宋体"/>
          <w:sz w:val="24"/>
          <w:szCs w:val="24"/>
        </w:rPr>
        <w:t>20、读卡器</w:t>
      </w:r>
    </w:p>
    <w:tbl>
      <w:tblPr>
        <w:tblW w:w="841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587"/>
        <w:gridCol w:w="68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60" w:hRule="atLeast"/>
          <w:tblCellSpacing w:w="15" w:type="dxa"/>
        </w:trPr>
        <w:tc>
          <w:tcPr>
            <w:tcW w:w="1542"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指标项</w:t>
            </w:r>
          </w:p>
        </w:tc>
        <w:tc>
          <w:tcPr>
            <w:tcW w:w="6782" w:type="dxa"/>
            <w:tcBorders>
              <w:top w:val="nil"/>
              <w:left w:val="nil"/>
              <w:bottom w:val="nil"/>
              <w:right w:val="nil"/>
            </w:tcBorders>
            <w:shd w:val="clear" w:color="auto" w:fill="D8D8D8"/>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Style w:val="8"/>
                <w:rFonts w:hint="eastAsia" w:ascii="宋体" w:hAnsi="宋体" w:eastAsia="宋体" w:cs="宋体"/>
                <w:sz w:val="24"/>
                <w:szCs w:val="24"/>
                <w:bdr w:val="none" w:color="auto" w:sz="0" w:space="0"/>
              </w:rPr>
              <w:t>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520" w:hRule="atLeast"/>
          <w:tblCellSpacing w:w="15" w:type="dxa"/>
        </w:trPr>
        <w:tc>
          <w:tcPr>
            <w:tcW w:w="1542"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jc w:val="center"/>
            </w:pPr>
            <w:r>
              <w:rPr>
                <w:rFonts w:hint="eastAsia" w:ascii="宋体" w:hAnsi="宋体" w:eastAsia="宋体" w:cs="宋体"/>
                <w:sz w:val="24"/>
                <w:szCs w:val="24"/>
                <w:bdr w:val="none" w:color="auto" w:sz="0" w:space="0"/>
              </w:rPr>
              <w:t>配置要求</w:t>
            </w:r>
          </w:p>
        </w:tc>
        <w:tc>
          <w:tcPr>
            <w:tcW w:w="6782" w:type="dxa"/>
            <w:tcBorders>
              <w:top w:val="nil"/>
              <w:left w:val="nil"/>
              <w:bottom w:val="nil"/>
              <w:right w:val="nil"/>
            </w:tcBorders>
            <w:shd w:val="clear" w:color="auto" w:fill="FFFFFF"/>
            <w:tcMar>
              <w:top w:w="75" w:type="dxa"/>
              <w:left w:w="75" w:type="dxa"/>
              <w:bottom w:w="75" w:type="dxa"/>
              <w:right w:w="75" w:type="dxa"/>
            </w:tcMar>
            <w:vAlign w:val="center"/>
          </w:tcPr>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手动拉卡速度：10cm/s-150cm/s</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磁头读标准 ：兼容IBM、ISO、DIN、ANSI标准，并可由控制命令切换。</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磁条读功能 支持双向刷卡读1\2轨道或2\3轨道</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磁头寿命：≧80万次</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记录标准：自动识别IBM、ISO等标准</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记录密度：自动识别75BPI和210BPI</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IC卡座：降落插拔式</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IC卡座插拔次数：≧80万次</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IC卡/SIM卡标准：ISO7816-1/2/3/4标准，支持CPU卡，兼容各医院的4442/4428卡，并可定制支持Memory卡</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串口通讯协议:9600BPI 8位无校验，一个起始位，一个停止位</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USB通讯协议:USB接口HID免驱模式</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键盘口通讯协议:标准AT通讯协议</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外壳:塑料外壳</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维保：提供至少一年保修服务</w:t>
            </w:r>
          </w:p>
          <w:p>
            <w:pPr>
              <w:pStyle w:val="6"/>
              <w:keepNext w:val="0"/>
              <w:keepLines w:val="0"/>
              <w:widowControl/>
              <w:suppressLineNumbers w:val="0"/>
              <w:spacing w:before="0" w:beforeAutospacing="0" w:after="150" w:afterAutospacing="0"/>
            </w:pPr>
            <w:r>
              <w:rPr>
                <w:rFonts w:hint="eastAsia" w:ascii="宋体" w:hAnsi="宋体" w:eastAsia="宋体" w:cs="宋体"/>
                <w:sz w:val="24"/>
                <w:szCs w:val="24"/>
                <w:bdr w:val="none" w:color="auto" w:sz="0" w:space="0"/>
              </w:rPr>
              <w:t> </w:t>
            </w:r>
          </w:p>
        </w:tc>
      </w:tr>
    </w:tbl>
    <w:p>
      <w:pPr>
        <w:pStyle w:val="6"/>
        <w:keepNext w:val="0"/>
        <w:keepLines w:val="0"/>
        <w:widowControl/>
        <w:suppressLineNumbers w:val="0"/>
        <w:spacing w:before="0" w:beforeAutospacing="0" w:after="150" w:afterAutospacing="0"/>
        <w:jc w:val="both"/>
      </w:pPr>
      <w:r>
        <w:rPr>
          <w:rFonts w:hint="eastAsia" w:ascii="宋体" w:hAnsi="宋体" w:eastAsia="宋体" w:cs="宋体"/>
          <w:sz w:val="24"/>
          <w:szCs w:val="24"/>
        </w:rPr>
        <w:t> </w:t>
      </w:r>
    </w:p>
    <w:p>
      <w:pPr>
        <w:pStyle w:val="3"/>
        <w:keepNext w:val="0"/>
        <w:keepLines w:val="0"/>
        <w:widowControl/>
        <w:suppressLineNumbers w:val="0"/>
        <w:spacing w:line="405" w:lineRule="atLeast"/>
      </w:pPr>
      <w:r>
        <w:rPr>
          <w:rFonts w:hint="eastAsia" w:ascii="宋体" w:hAnsi="宋体" w:eastAsia="宋体" w:cs="宋体"/>
          <w:sz w:val="24"/>
          <w:szCs w:val="24"/>
        </w:rPr>
        <w:t>（一）项目实施要求</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医院信息化的建设是一个庞大的系统工程，不可能一蹴而就，其是一个复杂的过程，是医院从传统模式走向数字化，信息化，智能化，现代化的磨合过程。医院信息化建设的过程是一个不会结束的过程，它将随着医院的发展，医学技术的发展，医院管理的发展而不断发展。</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投标人应具备较强的行业经验、信息系统集成能力和质量管理体系，同时需要根据项目建设内容和进度需要，派驻具有一定资质能力水平的成员组成项目小组对医院信息系统进行实施及服务。期间可能由于用户的需要与政策的变化而对系统进行相应的客户化修改，投标人必须无条件满足。</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为使本项目信息系统业务数据正常交互与传输，中标人应免费提供以下业务传输线路:</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1、医保专线，专线速率：10M；</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2、互联网固定IP专线，专线速率：100M；</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3、数据传输专线（主备），专线速率：800M；</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（以上专线和相关设备须与福建省医科大学附属协和医院信息机房对接并满足采购人相应要求，且各线路租赁时间不少于6个月）。</w:t>
      </w:r>
    </w:p>
    <w:p>
      <w:pPr>
        <w:pStyle w:val="3"/>
        <w:keepNext w:val="0"/>
        <w:keepLines w:val="0"/>
        <w:widowControl/>
        <w:suppressLineNumbers w:val="0"/>
        <w:spacing w:line="405" w:lineRule="atLeast"/>
      </w:pPr>
      <w:r>
        <w:rPr>
          <w:rFonts w:hint="eastAsia" w:ascii="宋体" w:hAnsi="宋体" w:eastAsia="宋体" w:cs="宋体"/>
          <w:sz w:val="24"/>
          <w:szCs w:val="24"/>
        </w:rPr>
        <w:t>（二）培训要求</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投标人须在采购人指 定的地点提供操作及维护培训，投标人须在投标文件中提供详细的培训计划，包括培训内容、培训时间等。</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投标人提供的负责培训的人员应具有相关应用系统开发3年以上的经验。</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技术培训费用应包含在投标总价中。</w:t>
      </w:r>
    </w:p>
    <w:p>
      <w:pPr>
        <w:pStyle w:val="6"/>
        <w:keepNext w:val="0"/>
        <w:keepLines w:val="0"/>
        <w:widowControl/>
        <w:suppressLineNumbers w:val="0"/>
        <w:spacing w:line="405" w:lineRule="atLeast"/>
      </w:pPr>
      <w:r>
        <w:rPr>
          <w:rStyle w:val="8"/>
          <w:rFonts w:hint="eastAsia" w:ascii="宋体" w:hAnsi="宋体" w:eastAsia="宋体" w:cs="宋体"/>
          <w:sz w:val="24"/>
          <w:szCs w:val="24"/>
        </w:rPr>
        <w:t>（三）售 后 服 务要求</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中标人对于软件免费提供为期至少一年的维保服务、对于硬件根据招标参数要求免费提供维保服务（所有维保期均自本项目验收合格之日起开始计算），并免费提供永久技术支持（包括各种突发事件采取应急措施等）。项目建设期间及维保期均属于免费服务期，该期限内的所有售 后 服 务包括软件维护、软件模块功能升级服务、相关培训服务，硬件维修及零部件更换等所产生的费用均由中标人承担。中标人提供7×24小时服务，接到采购人通知0.5小时内做出明确响应和安排，1小时内做出故障诊断报告并解决故障；若采购人需现场服务的，中标人在接到采购人通知2小时内派工程师到达现场并解决故障，若2小时内无法解决硬件故障，则应提供同水平备用机供采购人使用，提供不间断的服务直到故障解决，其中产生一切费用由中标人承担。</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维保期内各类维护费用等均由中标人承担。在维保期满时，投标人的工程师和采购人代表对所有产品进行测试，任何故障须由中标人解决并获得采购人的认可，其中产生一切费用由中标人承担。</w:t>
      </w:r>
    </w:p>
    <w:p>
      <w:pPr>
        <w:pStyle w:val="3"/>
        <w:keepNext w:val="0"/>
        <w:keepLines w:val="0"/>
        <w:widowControl/>
        <w:suppressLineNumbers w:val="0"/>
        <w:spacing w:line="405" w:lineRule="atLeast"/>
      </w:pPr>
      <w:r>
        <w:rPr>
          <w:rFonts w:hint="eastAsia" w:ascii="宋体" w:hAnsi="宋体" w:eastAsia="宋体" w:cs="宋体"/>
          <w:sz w:val="24"/>
          <w:szCs w:val="24"/>
        </w:rPr>
        <w:t>（四）验收要求</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1、软件上线、硬件安装调试完毕并稳定运行一个月后组织验收。中标人对本项目所提供的技术服务应在项目规定期限内完成并提交的应用软件产品及相关电子文档。验收前，中标人须提供完整的技术资料(包括产品说明书、用户手册、出厂明细表或装箱单、制造厂质量合格证书及其他相关文件资料)；中标人向采购人提供安装和维修所需特殊专用的工具、备件及清单和中文说明书，其费用包括在投标价格内；中标人在采购人安装现场进行最终验收所发生的一切费用由中标人承担。 货物移交前发生的任何外观擦损、内部配件缺失、拆换等问题，均由中标人负责，并承担相应的经济责任。 验收后采购人若对与货物有关的事项提出异议，中标人应在7个工作日内予以解决。</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2、本项目涉及软件模块多，实施难度大，项目周期长，验收将按模块上线情况和维护服务情况综合验收（验收内容按招标文件、响应文件、合同、相关承诺和相关补充文件的内容进行），按招标文件要求所有系统完成后，进行项目总验收。验收工作由中标方提出，招标方组织相关科室组成评审组进行验收。</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3、产品所有技术性能规格及参数应符合招标文件和中标方投标文件所要求的技术标准及服务标准，系统运行稳定、无故障、数据无错误。验收工作由采购人和中标人共同进行。在验收时，中标人应向采购人提供货物的相关资料，按采购人提出的方式验收。由招标方对货物的质量、规格和数量其他进行检验。如发现质量、规格和数量等任何一项与采购要求规定不符，采购人有权拒绝接受。</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4、项目应提交的成果和电子文档，包括但不限于：</w:t>
      </w:r>
    </w:p>
    <w:p>
      <w:pPr>
        <w:pStyle w:val="6"/>
        <w:keepNext w:val="0"/>
        <w:keepLines w:val="0"/>
        <w:widowControl/>
        <w:suppressLineNumbers w:val="0"/>
        <w:spacing w:line="405" w:lineRule="atLeast"/>
        <w:ind w:left="0" w:firstLine="960"/>
      </w:pPr>
      <w:r>
        <w:rPr>
          <w:rFonts w:hint="eastAsia" w:ascii="宋体" w:hAnsi="宋体" w:eastAsia="宋体" w:cs="宋体"/>
          <w:sz w:val="24"/>
          <w:szCs w:val="24"/>
        </w:rPr>
        <w:t>需求分析报告；</w:t>
      </w:r>
    </w:p>
    <w:p>
      <w:pPr>
        <w:pStyle w:val="6"/>
        <w:keepNext w:val="0"/>
        <w:keepLines w:val="0"/>
        <w:widowControl/>
        <w:suppressLineNumbers w:val="0"/>
        <w:spacing w:line="405" w:lineRule="atLeast"/>
        <w:ind w:left="0" w:firstLine="960"/>
      </w:pPr>
      <w:r>
        <w:rPr>
          <w:rFonts w:hint="eastAsia" w:ascii="宋体" w:hAnsi="宋体" w:eastAsia="宋体" w:cs="宋体"/>
          <w:sz w:val="24"/>
          <w:szCs w:val="24"/>
        </w:rPr>
        <w:t>系统测试方案；</w:t>
      </w:r>
    </w:p>
    <w:p>
      <w:pPr>
        <w:pStyle w:val="6"/>
        <w:keepNext w:val="0"/>
        <w:keepLines w:val="0"/>
        <w:widowControl/>
        <w:suppressLineNumbers w:val="0"/>
        <w:spacing w:line="405" w:lineRule="atLeast"/>
        <w:ind w:left="0" w:firstLine="960"/>
      </w:pPr>
      <w:r>
        <w:rPr>
          <w:rFonts w:hint="eastAsia" w:ascii="宋体" w:hAnsi="宋体" w:eastAsia="宋体" w:cs="宋体"/>
          <w:sz w:val="24"/>
          <w:szCs w:val="24"/>
        </w:rPr>
        <w:t>系统测试分析报告；</w:t>
      </w:r>
    </w:p>
    <w:p>
      <w:pPr>
        <w:pStyle w:val="6"/>
        <w:keepNext w:val="0"/>
        <w:keepLines w:val="0"/>
        <w:widowControl/>
        <w:suppressLineNumbers w:val="0"/>
        <w:spacing w:line="405" w:lineRule="atLeast"/>
        <w:ind w:left="0" w:firstLine="960"/>
      </w:pPr>
      <w:r>
        <w:rPr>
          <w:rFonts w:hint="eastAsia" w:ascii="宋体" w:hAnsi="宋体" w:eastAsia="宋体" w:cs="宋体"/>
          <w:sz w:val="24"/>
          <w:szCs w:val="24"/>
        </w:rPr>
        <w:t>安装维护手册；</w:t>
      </w:r>
    </w:p>
    <w:p>
      <w:pPr>
        <w:pStyle w:val="6"/>
        <w:keepNext w:val="0"/>
        <w:keepLines w:val="0"/>
        <w:widowControl/>
        <w:suppressLineNumbers w:val="0"/>
        <w:spacing w:line="405" w:lineRule="atLeast"/>
        <w:ind w:left="0" w:firstLine="960"/>
      </w:pPr>
      <w:r>
        <w:rPr>
          <w:rFonts w:hint="eastAsia" w:ascii="宋体" w:hAnsi="宋体" w:eastAsia="宋体" w:cs="宋体"/>
          <w:sz w:val="24"/>
          <w:szCs w:val="24"/>
        </w:rPr>
        <w:t>使用操作手册；</w:t>
      </w:r>
    </w:p>
    <w:p>
      <w:pPr>
        <w:pStyle w:val="6"/>
        <w:keepNext w:val="0"/>
        <w:keepLines w:val="0"/>
        <w:widowControl/>
        <w:suppressLineNumbers w:val="0"/>
        <w:spacing w:line="405" w:lineRule="atLeast"/>
        <w:ind w:left="0" w:firstLine="960"/>
      </w:pPr>
      <w:r>
        <w:rPr>
          <w:rFonts w:hint="eastAsia" w:ascii="宋体" w:hAnsi="宋体" w:eastAsia="宋体" w:cs="宋体"/>
          <w:sz w:val="24"/>
          <w:szCs w:val="24"/>
        </w:rPr>
        <w:t>培训资料；</w:t>
      </w:r>
    </w:p>
    <w:p>
      <w:pPr>
        <w:pStyle w:val="6"/>
        <w:keepNext w:val="0"/>
        <w:keepLines w:val="0"/>
        <w:widowControl/>
        <w:suppressLineNumbers w:val="0"/>
        <w:spacing w:line="405" w:lineRule="atLeast"/>
        <w:ind w:left="0" w:firstLine="960"/>
      </w:pPr>
      <w:r>
        <w:rPr>
          <w:rFonts w:hint="eastAsia" w:ascii="宋体" w:hAnsi="宋体" w:eastAsia="宋体" w:cs="宋体"/>
          <w:sz w:val="24"/>
          <w:szCs w:val="24"/>
        </w:rPr>
        <w:t>数据结构说明文档。</w:t>
      </w:r>
    </w:p>
    <w:p>
      <w:pPr>
        <w:pStyle w:val="6"/>
        <w:keepNext w:val="0"/>
        <w:keepLines w:val="0"/>
        <w:widowControl/>
        <w:suppressLineNumbers w:val="0"/>
        <w:spacing w:line="405" w:lineRule="atLeast"/>
      </w:pPr>
      <w:r>
        <w:rPr>
          <w:rFonts w:hint="eastAsia" w:ascii="宋体" w:hAnsi="宋体" w:eastAsia="宋体" w:cs="宋体"/>
          <w:sz w:val="24"/>
          <w:szCs w:val="24"/>
        </w:rPr>
        <w:t>（五）其他</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1、违约责任</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1.1、如乙方所交货物不符合本合同与甲方要求的，甲方有权拒收，经甲方确认后，乙方应偿付该货物款30%的违约金，同时涉及到的部分终止履行。</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1.2未按期交货的违约责任</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1.2.1如乙方未能按合同规定的时间按时足额交货的（不可抗力除外），甲方有权单方解除本合同。若因此给甲方造成损失的，乙方应予以赔偿。若甲方同意延长交货期，乙方必须支付延期交货违约金，延期交货的时间由双方另行确定。延期交货违约金的支付甲方有权从未付的合同货款中扣除。延期交货违约金比率为每迟交1天，按迟交货物金额的5%。</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1.2.2如乙方未能按双方另行确定的延期交货期按时足额交货的（不可抗力除外），每逾期1天，乙方应按迟交货物金额的5%向甲方支付逾期交货的违约金。逾期交货违约金的支付甲方有权从未付的合同货款中予以扣除。</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1.3如乙方不能交货的（超过合同规定的时间或另行确定的延期交货期15个工作日视为不能交货，因不可抗拒的因素除外）或交货不合格从而影响甲方正常使用的，乙方应向甲方赔不能交货部分货款的30%的违约金。违约金不足以补偿损失的，甲方有权要求乙方赔偿损失。</w:t>
      </w:r>
    </w:p>
    <w:p>
      <w:pPr>
        <w:pStyle w:val="6"/>
        <w:keepNext w:val="0"/>
        <w:keepLines w:val="0"/>
        <w:widowControl/>
        <w:suppressLineNumbers w:val="0"/>
        <w:spacing w:line="405" w:lineRule="atLeast"/>
        <w:ind w:left="0" w:firstLine="480"/>
      </w:pPr>
      <w:r>
        <w:rPr>
          <w:rFonts w:hint="eastAsia" w:ascii="宋体" w:hAnsi="宋体" w:eastAsia="宋体" w:cs="宋体"/>
          <w:sz w:val="24"/>
          <w:szCs w:val="24"/>
        </w:rPr>
        <w:t>1.4如乙方未能按照合同约定的时间提供服务的，每逾期1天的，乙方应向甲方支付合同总金额的5%作为违约金，若因此给甲方造成损失的，乙方还应赔偿甲方所受的损失。</w:t>
      </w:r>
    </w:p>
    <w:p>
      <w:pPr>
        <w:pStyle w:val="6"/>
        <w:keepNext w:val="0"/>
        <w:keepLines w:val="0"/>
        <w:widowControl/>
        <w:suppressLineNumbers w:val="0"/>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8"/>
          <w:rFonts w:hint="eastAsia" w:ascii="宋体" w:hAnsi="宋体" w:eastAsia="宋体" w:cs="宋体"/>
          <w:spacing w:val="0"/>
          <w:sz w:val="24"/>
          <w:szCs w:val="24"/>
        </w:rPr>
        <w:t>（以“★”标示的内容为不允许负偏离的实质性要求）</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包：1</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1、交付地点：闽侯县上街镇学府南路6号福建医科大学附属第三医院</w:t>
      </w:r>
      <w:r>
        <w:rPr>
          <w:rFonts w:hint="eastAsia" w:ascii="宋体" w:hAnsi="宋体" w:eastAsia="宋体" w:cs="宋体"/>
          <w:spacing w:val="0"/>
          <w:sz w:val="24"/>
          <w:szCs w:val="24"/>
        </w:rPr>
        <w:t> </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2、交付时间：合同签订后 (20) 天内到货；3个月内完成系统调研、安装、调试和系统上线工作。</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3、交付条件：按招标文件要求</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4、是否收取履约保证金：否</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5、是否邀请投标人参与验收：否</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6、验收方式数据表格</w:t>
      </w:r>
    </w:p>
    <w:tbl>
      <w:tblPr>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661"/>
        <w:gridCol w:w="6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4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4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按招标文件要求</w:t>
            </w:r>
          </w:p>
        </w:tc>
      </w:tr>
    </w:tbl>
    <w:p>
      <w:pPr>
        <w:keepNext w:val="0"/>
        <w:keepLines w:val="0"/>
        <w:widowControl/>
        <w:suppressLineNumbers w:val="0"/>
        <w:jc w:val="left"/>
      </w:pPr>
      <w:r>
        <w:rPr>
          <w:rStyle w:val="8"/>
          <w:rFonts w:ascii="宋体" w:hAnsi="宋体" w:eastAsia="宋体" w:cs="宋体"/>
          <w:kern w:val="0"/>
          <w:sz w:val="24"/>
          <w:szCs w:val="24"/>
          <w:lang w:val="en-US" w:eastAsia="zh-CN" w:bidi="ar"/>
        </w:rPr>
        <w:t>7、支付方式数据表格</w:t>
      </w:r>
    </w:p>
    <w:tbl>
      <w:tblPr>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blHeader/>
          <w:tblCellSpacing w:w="0" w:type="dxa"/>
        </w:trPr>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w:t>
            </w:r>
          </w:p>
        </w:tc>
        <w:tc>
          <w:tcPr>
            <w:tcW w:w="49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合同签订后，采购人凭中标人提供的有效正式发票以转账方式支付合同总金额的40%。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w:t>
            </w:r>
          </w:p>
        </w:tc>
        <w:tc>
          <w:tcPr>
            <w:tcW w:w="49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软件部分按照软件各分系统的实施情况逐一验收，每验收一个分系统后，采购人凭中标人提供的有效正式发票、收讫软件系统的验收凭证、验收合格文件等材料以转账方式支付对应软件 系统合同金额的50%。 硬件部分由中标人送至采购人要求地点并经采购人清点确认无误之后，采购人凭中标人提供的有效正式发票、收讫硬件设备的签收材料等以转账方式支付硬件设备合同金额的40%；硬件设备验收合格后，采购人凭中标人提供的有效正式发票、收讫硬件设备的验收凭证、验收合格文件等材料以转账方式支付硬件设备合同金额的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49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软件系统维保期满后，采购人凭中标人提供的有效正式发票、收讫软件系统的验收凭证、验收合格文件等材料以转账方式支付软件系统合同金额的10%。 硬件设备验收合格并投入运行一年后若无质量问题，采购人凭中标人提供的有效正式发票、收讫硬件设备的验收凭证、验收合格文件等材料以转账方式支付硬件设备合同金额10%。</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6"/>
        <w:keepNext w:val="0"/>
        <w:keepLines w:val="0"/>
        <w:widowControl/>
        <w:suppressLineNumbers w:val="0"/>
        <w:spacing w:before="75" w:beforeAutospacing="0" w:after="75" w:afterAutospacing="0"/>
        <w:ind w:left="0" w:right="0" w:firstLine="0"/>
      </w:pPr>
      <w:r>
        <w:rPr>
          <w:spacing w:val="0"/>
          <w:sz w:val="24"/>
          <w:szCs w:val="24"/>
        </w:rPr>
        <w:t>2、其他：</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第六章   政府采购合同（参考文本）</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编制说明</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1、签订合同应遵守政府采购法、合同法。</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3、国家有关部门对若干合同有规范文本的，可使用相应合同文本。</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single"/>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根据招标编号为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                                  乙方：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                                  住所：</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                            单位负责人：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                            委托代理人：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                              联系方法：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                              开户银行：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                                  账号：</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240"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第七章   投标文件格式</w:t>
      </w:r>
    </w:p>
    <w:p>
      <w:pPr>
        <w:pStyle w:val="6"/>
        <w:keepNext w:val="0"/>
        <w:keepLines w:val="0"/>
        <w:widowControl/>
        <w:suppressLineNumbers w:val="0"/>
        <w:jc w:val="center"/>
      </w:pPr>
      <w:r>
        <w:rPr>
          <w:rStyle w:val="8"/>
          <w:rFonts w:hint="eastAsia" w:ascii="宋体" w:hAnsi="宋体" w:eastAsia="宋体" w:cs="宋体"/>
          <w:sz w:val="24"/>
          <w:szCs w:val="24"/>
        </w:rPr>
        <w:t>编制说明</w:t>
      </w:r>
    </w:p>
    <w:p>
      <w:pPr>
        <w:pStyle w:val="6"/>
        <w:keepNext w:val="0"/>
        <w:keepLines w:val="0"/>
        <w:widowControl/>
        <w:suppressLineNumbers w:val="0"/>
      </w:pPr>
      <w:r>
        <w:rPr>
          <w:rFonts w:hint="eastAsia" w:ascii="宋体" w:hAnsi="宋体" w:eastAsia="宋体" w:cs="宋体"/>
          <w:sz w:val="24"/>
          <w:szCs w:val="24"/>
        </w:rPr>
        <w:t> </w:t>
      </w:r>
    </w:p>
    <w:p>
      <w:pPr>
        <w:pStyle w:val="6"/>
        <w:keepNext w:val="0"/>
        <w:keepLines w:val="0"/>
        <w:widowControl/>
        <w:suppressLineNumbers w:val="0"/>
        <w:ind w:left="0" w:firstLine="480"/>
      </w:pPr>
      <w:r>
        <w:rPr>
          <w:rFonts w:hint="eastAsia" w:ascii="宋体" w:hAnsi="宋体" w:eastAsia="宋体" w:cs="宋体"/>
          <w:sz w:val="24"/>
          <w:szCs w:val="24"/>
        </w:rPr>
        <w:t>1、除招标文件另有规定外，本章中：</w:t>
      </w:r>
    </w:p>
    <w:p>
      <w:pPr>
        <w:pStyle w:val="6"/>
        <w:keepNext w:val="0"/>
        <w:keepLines w:val="0"/>
        <w:widowControl/>
        <w:suppressLineNumbers w:val="0"/>
        <w:ind w:left="0" w:firstLine="480"/>
      </w:pPr>
      <w:r>
        <w:rPr>
          <w:rFonts w:hint="eastAsia" w:ascii="宋体" w:hAnsi="宋体" w:eastAsia="宋体" w:cs="宋体"/>
          <w:sz w:val="24"/>
          <w:szCs w:val="24"/>
        </w:rPr>
        <w:t>1.1涉及投标人的</w:t>
      </w:r>
      <w:r>
        <w:rPr>
          <w:rStyle w:val="8"/>
          <w:rFonts w:hint="eastAsia" w:ascii="宋体" w:hAnsi="宋体" w:eastAsia="宋体" w:cs="宋体"/>
          <w:sz w:val="24"/>
          <w:szCs w:val="24"/>
        </w:rPr>
        <w:t>“全称”</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（1）不接受联合体投标的，指</w:t>
      </w:r>
      <w:r>
        <w:rPr>
          <w:rStyle w:val="8"/>
          <w:rFonts w:hint="eastAsia" w:ascii="宋体" w:hAnsi="宋体" w:eastAsia="宋体" w:cs="宋体"/>
          <w:sz w:val="24"/>
          <w:szCs w:val="24"/>
        </w:rPr>
        <w:t>投标人的全称</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8"/>
          <w:rFonts w:hint="eastAsia" w:ascii="宋体" w:hAnsi="宋体" w:eastAsia="宋体" w:cs="宋体"/>
          <w:sz w:val="24"/>
          <w:szCs w:val="24"/>
        </w:rPr>
        <w:t>牵头方的全称</w:t>
      </w:r>
      <w:r>
        <w:rPr>
          <w:rFonts w:hint="eastAsia" w:ascii="宋体" w:hAnsi="宋体" w:eastAsia="宋体" w:cs="宋体"/>
          <w:sz w:val="24"/>
          <w:szCs w:val="24"/>
        </w:rPr>
        <w:t>并加注</w:t>
      </w:r>
      <w:r>
        <w:rPr>
          <w:rStyle w:val="8"/>
          <w:rFonts w:hint="eastAsia" w:ascii="宋体" w:hAnsi="宋体" w:eastAsia="宋体" w:cs="宋体"/>
          <w:sz w:val="24"/>
          <w:szCs w:val="24"/>
        </w:rPr>
        <w:t>（联合体牵头方）</w:t>
      </w:r>
      <w:r>
        <w:rPr>
          <w:rFonts w:hint="eastAsia" w:ascii="宋体" w:hAnsi="宋体" w:eastAsia="宋体" w:cs="宋体"/>
          <w:sz w:val="24"/>
          <w:szCs w:val="24"/>
        </w:rPr>
        <w:t>，即应表述为：</w:t>
      </w:r>
      <w:r>
        <w:rPr>
          <w:rStyle w:val="8"/>
          <w:rFonts w:hint="eastAsia" w:ascii="宋体" w:hAnsi="宋体" w:eastAsia="宋体" w:cs="宋体"/>
          <w:sz w:val="24"/>
          <w:szCs w:val="24"/>
        </w:rPr>
        <w:t>“牵头方的全称（联合体牵头方）”</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1.2涉及投标人</w:t>
      </w:r>
      <w:r>
        <w:rPr>
          <w:rStyle w:val="8"/>
          <w:rFonts w:hint="eastAsia" w:ascii="宋体" w:hAnsi="宋体" w:eastAsia="宋体" w:cs="宋体"/>
          <w:sz w:val="24"/>
          <w:szCs w:val="24"/>
        </w:rPr>
        <w:t>“加盖单位公章”</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（1）不接受联合体投标的，指</w:t>
      </w:r>
      <w:r>
        <w:rPr>
          <w:rStyle w:val="8"/>
          <w:rFonts w:hint="eastAsia" w:ascii="宋体" w:hAnsi="宋体" w:eastAsia="宋体" w:cs="宋体"/>
          <w:sz w:val="24"/>
          <w:szCs w:val="24"/>
        </w:rPr>
        <w:t>加盖投标人的单位公章</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8"/>
          <w:rFonts w:hint="eastAsia" w:ascii="宋体" w:hAnsi="宋体" w:eastAsia="宋体" w:cs="宋体"/>
          <w:sz w:val="24"/>
          <w:szCs w:val="24"/>
        </w:rPr>
        <w:t>加盖联合体牵头方的单位公章</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1.3涉及</w:t>
      </w:r>
      <w:r>
        <w:rPr>
          <w:rStyle w:val="8"/>
          <w:rFonts w:hint="eastAsia" w:ascii="宋体" w:hAnsi="宋体" w:eastAsia="宋体" w:cs="宋体"/>
          <w:sz w:val="24"/>
          <w:szCs w:val="24"/>
        </w:rPr>
        <w:t>“投标人代表签字”</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（1）不接受联合体投标的，指由</w:t>
      </w:r>
      <w:r>
        <w:rPr>
          <w:rStyle w:val="8"/>
          <w:rFonts w:hint="eastAsia" w:ascii="宋体" w:hAnsi="宋体" w:eastAsia="宋体" w:cs="宋体"/>
          <w:sz w:val="24"/>
          <w:szCs w:val="24"/>
        </w:rPr>
        <w:t>投标人的单位负责人或其授权的委托代理人签字</w:t>
      </w:r>
      <w:r>
        <w:rPr>
          <w:rFonts w:hint="eastAsia" w:ascii="宋体" w:hAnsi="宋体" w:eastAsia="宋体" w:cs="宋体"/>
          <w:sz w:val="24"/>
          <w:szCs w:val="24"/>
        </w:rPr>
        <w:t>，由委托代理人签字的，应提供“单位负责人授权书”。</w:t>
      </w:r>
    </w:p>
    <w:p>
      <w:pPr>
        <w:pStyle w:val="6"/>
        <w:keepNext w:val="0"/>
        <w:keepLines w:val="0"/>
        <w:widowControl/>
        <w:suppressLineNumbers w:val="0"/>
        <w:ind w:left="0" w:firstLine="480"/>
      </w:pPr>
      <w:r>
        <w:rPr>
          <w:rFonts w:hint="eastAsia" w:ascii="宋体" w:hAnsi="宋体" w:eastAsia="宋体" w:cs="宋体"/>
          <w:sz w:val="24"/>
          <w:szCs w:val="24"/>
        </w:rPr>
        <w:t>（2）接受联合体投标且投标人为联合体的，指由</w:t>
      </w:r>
      <w:r>
        <w:rPr>
          <w:rStyle w:val="8"/>
          <w:rFonts w:hint="eastAsia" w:ascii="宋体" w:hAnsi="宋体" w:eastAsia="宋体" w:cs="宋体"/>
          <w:sz w:val="24"/>
          <w:szCs w:val="24"/>
        </w:rPr>
        <w:t>联合体牵头方的单位负责人或其授权的委托代理人签字</w:t>
      </w:r>
      <w:r>
        <w:rPr>
          <w:rFonts w:hint="eastAsia" w:ascii="宋体" w:hAnsi="宋体" w:eastAsia="宋体" w:cs="宋体"/>
          <w:sz w:val="24"/>
          <w:szCs w:val="24"/>
        </w:rPr>
        <w:t>，由委托代理人签字的，应提供“单位负责人授权书”。</w:t>
      </w:r>
    </w:p>
    <w:p>
      <w:pPr>
        <w:pStyle w:val="6"/>
        <w:keepNext w:val="0"/>
        <w:keepLines w:val="0"/>
        <w:widowControl/>
        <w:suppressLineNumbers w:val="0"/>
        <w:ind w:left="0" w:firstLine="480"/>
      </w:pPr>
      <w:r>
        <w:rPr>
          <w:rFonts w:hint="eastAsia" w:ascii="宋体" w:hAnsi="宋体" w:eastAsia="宋体" w:cs="宋体"/>
          <w:sz w:val="24"/>
          <w:szCs w:val="24"/>
        </w:rPr>
        <w:t>1.4</w:t>
      </w:r>
      <w:r>
        <w:rPr>
          <w:rStyle w:val="8"/>
          <w:rFonts w:hint="eastAsia" w:ascii="宋体" w:hAnsi="宋体" w:eastAsia="宋体" w:cs="宋体"/>
          <w:sz w:val="24"/>
          <w:szCs w:val="24"/>
        </w:rPr>
        <w:t>“其他组织”</w:t>
      </w:r>
      <w:r>
        <w:rPr>
          <w:rFonts w:hint="eastAsia" w:ascii="宋体" w:hAnsi="宋体" w:eastAsia="宋体" w:cs="宋体"/>
          <w:sz w:val="24"/>
          <w:szCs w:val="24"/>
        </w:rPr>
        <w:t>指合伙企业、非企业专业服务机构、个体工商户、农村承包经营户等。</w:t>
      </w:r>
    </w:p>
    <w:p>
      <w:pPr>
        <w:pStyle w:val="6"/>
        <w:keepNext w:val="0"/>
        <w:keepLines w:val="0"/>
        <w:widowControl/>
        <w:suppressLineNumbers w:val="0"/>
        <w:ind w:left="0" w:firstLine="480"/>
      </w:pPr>
      <w:r>
        <w:rPr>
          <w:rFonts w:hint="eastAsia" w:ascii="宋体" w:hAnsi="宋体" w:eastAsia="宋体" w:cs="宋体"/>
          <w:sz w:val="24"/>
          <w:szCs w:val="24"/>
        </w:rPr>
        <w:t>1.5</w:t>
      </w:r>
      <w:r>
        <w:rPr>
          <w:rStyle w:val="8"/>
          <w:rFonts w:hint="eastAsia" w:ascii="宋体" w:hAnsi="宋体" w:eastAsia="宋体" w:cs="宋体"/>
          <w:sz w:val="24"/>
          <w:szCs w:val="24"/>
        </w:rPr>
        <w:t>“自然人”</w:t>
      </w:r>
      <w:r>
        <w:rPr>
          <w:rFonts w:hint="eastAsia" w:ascii="宋体" w:hAnsi="宋体" w:eastAsia="宋体" w:cs="宋体"/>
          <w:sz w:val="24"/>
          <w:szCs w:val="24"/>
        </w:rPr>
        <w:t>指具有完全民事行为能力、能够承担民事责任和义务的中国公民。</w:t>
      </w:r>
    </w:p>
    <w:p>
      <w:pPr>
        <w:pStyle w:val="6"/>
        <w:keepNext w:val="0"/>
        <w:keepLines w:val="0"/>
        <w:widowControl/>
        <w:suppressLineNumbers w:val="0"/>
        <w:ind w:left="0" w:firstLine="480"/>
      </w:pPr>
      <w:r>
        <w:rPr>
          <w:rFonts w:hint="eastAsia" w:ascii="宋体" w:hAnsi="宋体" w:eastAsia="宋体" w:cs="宋体"/>
          <w:sz w:val="24"/>
          <w:szCs w:val="24"/>
        </w:rPr>
        <w:t>2、除招标文件另有规定外，本章中</w:t>
      </w:r>
      <w:r>
        <w:rPr>
          <w:rStyle w:val="8"/>
          <w:rFonts w:hint="eastAsia" w:ascii="宋体" w:hAnsi="宋体" w:eastAsia="宋体" w:cs="宋体"/>
          <w:sz w:val="24"/>
          <w:szCs w:val="24"/>
        </w:rPr>
        <w:t>“投标人的资格及资信证明文件”</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6"/>
        <w:keepNext w:val="0"/>
        <w:keepLines w:val="0"/>
        <w:widowControl/>
        <w:suppressLineNumbers w:val="0"/>
        <w:ind w:lef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6"/>
        <w:keepNext w:val="0"/>
        <w:keepLines w:val="0"/>
        <w:widowControl/>
        <w:suppressLineNumbers w:val="0"/>
        <w:ind w:left="0" w:firstLine="480"/>
      </w:pPr>
      <w:r>
        <w:rPr>
          <w:rFonts w:hint="eastAsia" w:ascii="宋体" w:hAnsi="宋体" w:eastAsia="宋体" w:cs="宋体"/>
          <w:sz w:val="24"/>
          <w:szCs w:val="24"/>
        </w:rPr>
        <w:t>3、投标人对投标文件的索引应编制页码。</w:t>
      </w:r>
    </w:p>
    <w:p>
      <w:pPr>
        <w:pStyle w:val="6"/>
        <w:keepNext w:val="0"/>
        <w:keepLines w:val="0"/>
        <w:widowControl/>
        <w:suppressLineNumbers w:val="0"/>
        <w:ind w:left="0" w:firstLine="480"/>
      </w:pPr>
      <w:r>
        <w:rPr>
          <w:rFonts w:hint="eastAsia" w:ascii="宋体" w:hAnsi="宋体" w:eastAsia="宋体" w:cs="宋体"/>
          <w:sz w:val="24"/>
          <w:szCs w:val="24"/>
        </w:rPr>
        <w:t>4、除招标文件另有规定外，本章中：</w:t>
      </w:r>
    </w:p>
    <w:p>
      <w:pPr>
        <w:pStyle w:val="6"/>
        <w:keepNext w:val="0"/>
        <w:keepLines w:val="0"/>
        <w:widowControl/>
        <w:suppressLineNumbers w:val="0"/>
        <w:ind w:left="0" w:firstLine="480"/>
      </w:pPr>
      <w:r>
        <w:rPr>
          <w:rFonts w:hint="eastAsia" w:ascii="宋体" w:hAnsi="宋体" w:eastAsia="宋体" w:cs="宋体"/>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6"/>
        <w:keepNext w:val="0"/>
        <w:keepLines w:val="0"/>
        <w:widowControl/>
        <w:suppressLineNumbers w:val="0"/>
        <w:ind w:left="0" w:firstLine="480"/>
      </w:pPr>
      <w:r>
        <w:rPr>
          <w:rFonts w:hint="eastAsia" w:ascii="宋体" w:hAnsi="宋体" w:eastAsia="宋体" w:cs="宋体"/>
          <w:sz w:val="24"/>
          <w:szCs w:val="24"/>
        </w:rPr>
        <w:t>4.2除《检察机关行贿犯罪档案查询结果告知函》外，若投标人提供注明“复印件无效”的证明材料或资料，其纸质投标文件正本中应提供原件。</w:t>
      </w:r>
    </w:p>
    <w:p>
      <w:pPr>
        <w:pStyle w:val="6"/>
        <w:keepNext w:val="0"/>
        <w:keepLines w:val="0"/>
        <w:widowControl/>
        <w:suppressLineNumbers w:val="0"/>
        <w:ind w:left="0" w:firstLine="480"/>
      </w:pPr>
      <w:r>
        <w:rPr>
          <w:rFonts w:hint="eastAsia" w:ascii="宋体" w:hAnsi="宋体" w:eastAsia="宋体" w:cs="宋体"/>
          <w:sz w:val="24"/>
          <w:szCs w:val="24"/>
        </w:rPr>
        <w:t>4.3《检察机关行贿犯罪档案查询结果告知函》：投标人在纸质投标文件正本中提供原件、复印件（含扫描件）、符合本章规定的打印件（或截图）皆可。</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8"/>
          <w:szCs w:val="28"/>
        </w:rPr>
        <w:t>封面格式</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48"/>
          <w:szCs w:val="48"/>
        </w:rPr>
        <w:t>福建省政府采购投标文件</w:t>
      </w:r>
    </w:p>
    <w:p>
      <w:pPr>
        <w:pStyle w:val="6"/>
        <w:keepNext w:val="0"/>
        <w:keepLines w:val="0"/>
        <w:widowControl/>
        <w:suppressLineNumbers w:val="0"/>
        <w:jc w:val="center"/>
      </w:pPr>
      <w:r>
        <w:rPr>
          <w:rStyle w:val="8"/>
          <w:rFonts w:hint="eastAsia" w:ascii="宋体" w:hAnsi="宋体" w:eastAsia="宋体" w:cs="宋体"/>
          <w:sz w:val="48"/>
          <w:szCs w:val="48"/>
        </w:rPr>
        <w:t>（资格及资信证明部分）</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36"/>
          <w:szCs w:val="36"/>
          <w:u w:val="single"/>
        </w:rPr>
        <w:t>（填写正本或副本）</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ind w:left="0" w:firstLine="1920"/>
      </w:pPr>
      <w:r>
        <w:rPr>
          <w:rStyle w:val="8"/>
          <w:rFonts w:hint="eastAsia" w:ascii="宋体" w:hAnsi="宋体" w:eastAsia="宋体" w:cs="宋体"/>
          <w:sz w:val="31"/>
          <w:szCs w:val="31"/>
        </w:rPr>
        <w:t>项目名称：</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备案编号：</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招标编号：</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所投合同包：</w:t>
      </w:r>
      <w:r>
        <w:rPr>
          <w:rStyle w:val="8"/>
          <w:rFonts w:hint="eastAsia" w:ascii="宋体" w:hAnsi="宋体" w:eastAsia="宋体" w:cs="宋体"/>
          <w:sz w:val="31"/>
          <w:szCs w:val="31"/>
          <w:u w:val="single"/>
        </w:rPr>
        <w:t>（由投标人填写）</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31"/>
          <w:szCs w:val="31"/>
        </w:rPr>
        <w:t>投标人：</w:t>
      </w:r>
      <w:r>
        <w:rPr>
          <w:rStyle w:val="8"/>
          <w:rFonts w:hint="eastAsia" w:ascii="宋体" w:hAnsi="宋体" w:eastAsia="宋体" w:cs="宋体"/>
          <w:sz w:val="31"/>
          <w:szCs w:val="31"/>
          <w:u w:val="single"/>
        </w:rPr>
        <w:t>（填写“全称”）</w:t>
      </w:r>
    </w:p>
    <w:p>
      <w:pPr>
        <w:pStyle w:val="6"/>
        <w:keepNext w:val="0"/>
        <w:keepLines w:val="0"/>
        <w:widowControl/>
        <w:suppressLineNumbers w:val="0"/>
        <w:jc w:val="center"/>
      </w:pPr>
      <w:r>
        <w:rPr>
          <w:rStyle w:val="8"/>
          <w:rFonts w:hint="eastAsia" w:ascii="宋体" w:hAnsi="宋体" w:eastAsia="宋体" w:cs="宋体"/>
          <w:sz w:val="31"/>
          <w:szCs w:val="31"/>
          <w:u w:val="single"/>
        </w:rPr>
        <w:t>（由投标人填写）</w:t>
      </w:r>
      <w:r>
        <w:rPr>
          <w:rStyle w:val="8"/>
          <w:rFonts w:hint="eastAsia" w:ascii="宋体" w:hAnsi="宋体" w:eastAsia="宋体" w:cs="宋体"/>
          <w:sz w:val="31"/>
          <w:szCs w:val="31"/>
        </w:rPr>
        <w:t>年</w:t>
      </w:r>
      <w:r>
        <w:rPr>
          <w:rStyle w:val="8"/>
          <w:rFonts w:hint="eastAsia" w:ascii="宋体" w:hAnsi="宋体" w:eastAsia="宋体" w:cs="宋体"/>
          <w:sz w:val="31"/>
          <w:szCs w:val="31"/>
          <w:u w:val="single"/>
        </w:rPr>
        <w:t>（由投标人填写）</w:t>
      </w:r>
      <w:r>
        <w:rPr>
          <w:rStyle w:val="8"/>
          <w:rFonts w:hint="eastAsia" w:ascii="宋体" w:hAnsi="宋体" w:eastAsia="宋体" w:cs="宋体"/>
          <w:sz w:val="31"/>
          <w:szCs w:val="31"/>
        </w:rPr>
        <w:t>月</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8"/>
          <w:szCs w:val="28"/>
        </w:rPr>
        <w:t>索引</w:t>
      </w:r>
    </w:p>
    <w:p>
      <w:pPr>
        <w:pStyle w:val="6"/>
        <w:keepNext w:val="0"/>
        <w:keepLines w:val="0"/>
        <w:widowControl/>
        <w:suppressLineNumbers w:val="0"/>
      </w:pPr>
      <w:r>
        <w:rPr>
          <w:rFonts w:hint="eastAsia" w:ascii="宋体" w:hAnsi="宋体" w:eastAsia="宋体" w:cs="宋体"/>
          <w:sz w:val="28"/>
          <w:szCs w:val="28"/>
        </w:rPr>
        <w:t>一、投标函</w:t>
      </w:r>
    </w:p>
    <w:p>
      <w:pPr>
        <w:pStyle w:val="6"/>
        <w:keepNext w:val="0"/>
        <w:keepLines w:val="0"/>
        <w:widowControl/>
        <w:suppressLineNumbers w:val="0"/>
      </w:pPr>
      <w:r>
        <w:rPr>
          <w:rFonts w:hint="eastAsia" w:ascii="宋体" w:hAnsi="宋体" w:eastAsia="宋体" w:cs="宋体"/>
          <w:sz w:val="28"/>
          <w:szCs w:val="28"/>
        </w:rPr>
        <w:t>二、投标人的资格及资信证明文件</w:t>
      </w:r>
    </w:p>
    <w:p>
      <w:pPr>
        <w:pStyle w:val="6"/>
        <w:keepNext w:val="0"/>
        <w:keepLines w:val="0"/>
        <w:widowControl/>
        <w:suppressLineNumbers w:val="0"/>
      </w:pPr>
      <w:r>
        <w:rPr>
          <w:rFonts w:hint="eastAsia" w:ascii="宋体" w:hAnsi="宋体" w:eastAsia="宋体" w:cs="宋体"/>
          <w:sz w:val="28"/>
          <w:szCs w:val="28"/>
        </w:rPr>
        <w:t>三、投标保证金</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★注意</w:t>
      </w:r>
    </w:p>
    <w:p>
      <w:pPr>
        <w:pStyle w:val="6"/>
        <w:keepNext w:val="0"/>
        <w:keepLines w:val="0"/>
        <w:widowControl/>
        <w:suppressLineNumbers w:val="0"/>
        <w:ind w:left="0" w:firstLine="420"/>
      </w:pPr>
      <w:r>
        <w:rPr>
          <w:rFonts w:hint="eastAsia" w:ascii="宋体" w:hAnsi="宋体" w:eastAsia="宋体" w:cs="宋体"/>
          <w:sz w:val="21"/>
          <w:szCs w:val="21"/>
        </w:rPr>
        <w:t>资格及资信证明部分中不得出现报价部分的全部或部分的投标报价信息（或组成资料），否则</w:t>
      </w:r>
      <w:r>
        <w:rPr>
          <w:rStyle w:val="8"/>
          <w:rFonts w:hint="eastAsia" w:ascii="宋体" w:hAnsi="宋体" w:eastAsia="宋体" w:cs="宋体"/>
          <w:sz w:val="21"/>
          <w:szCs w:val="21"/>
        </w:rPr>
        <w:t>资格审查不合格</w:t>
      </w:r>
      <w:r>
        <w:rPr>
          <w:rFonts w:hint="eastAsia" w:ascii="宋体" w:hAnsi="宋体" w:eastAsia="宋体" w:cs="宋体"/>
          <w:sz w:val="21"/>
          <w:szCs w:val="21"/>
        </w:rPr>
        <w:t>。</w:t>
      </w:r>
    </w:p>
    <w:p>
      <w:pPr>
        <w:pStyle w:val="6"/>
        <w:keepNext w:val="0"/>
        <w:keepLines w:val="0"/>
        <w:widowControl/>
        <w:suppressLineNumbers w:val="0"/>
      </w:pP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一、投标函</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参加投标，并提交招标文件规定份数的投标文件正本和副本。我方提交的全部投标文件均由下述部分组成：</w:t>
      </w:r>
    </w:p>
    <w:p>
      <w:pPr>
        <w:pStyle w:val="6"/>
        <w:keepNext w:val="0"/>
        <w:keepLines w:val="0"/>
        <w:widowControl/>
        <w:suppressLineNumbers w:val="0"/>
        <w:ind w:left="0" w:firstLine="420"/>
      </w:pPr>
      <w:r>
        <w:rPr>
          <w:rFonts w:hint="eastAsia" w:ascii="宋体" w:hAnsi="宋体" w:eastAsia="宋体" w:cs="宋体"/>
          <w:sz w:val="21"/>
          <w:szCs w:val="21"/>
        </w:rPr>
        <w:t>（1）资格及资信证明部分</w:t>
      </w:r>
    </w:p>
    <w:p>
      <w:pPr>
        <w:pStyle w:val="6"/>
        <w:keepNext w:val="0"/>
        <w:keepLines w:val="0"/>
        <w:widowControl/>
        <w:suppressLineNumbers w:val="0"/>
        <w:ind w:left="0" w:firstLine="420"/>
      </w:pPr>
      <w:r>
        <w:rPr>
          <w:rFonts w:hint="eastAsia" w:ascii="宋体" w:hAnsi="宋体" w:eastAsia="宋体" w:cs="宋体"/>
          <w:sz w:val="21"/>
          <w:szCs w:val="21"/>
        </w:rPr>
        <w:t>①投标函</w:t>
      </w:r>
    </w:p>
    <w:p>
      <w:pPr>
        <w:pStyle w:val="6"/>
        <w:keepNext w:val="0"/>
        <w:keepLines w:val="0"/>
        <w:widowControl/>
        <w:suppressLineNumbers w:val="0"/>
        <w:ind w:left="0" w:firstLine="420"/>
      </w:pPr>
      <w:r>
        <w:rPr>
          <w:rFonts w:hint="eastAsia" w:ascii="宋体" w:hAnsi="宋体" w:eastAsia="宋体" w:cs="宋体"/>
          <w:sz w:val="21"/>
          <w:szCs w:val="21"/>
        </w:rPr>
        <w:t>②投标人的资格及资信证明文件</w:t>
      </w:r>
    </w:p>
    <w:p>
      <w:pPr>
        <w:pStyle w:val="6"/>
        <w:keepNext w:val="0"/>
        <w:keepLines w:val="0"/>
        <w:widowControl/>
        <w:suppressLineNumbers w:val="0"/>
        <w:ind w:left="0" w:firstLine="420"/>
      </w:pPr>
      <w:r>
        <w:rPr>
          <w:rFonts w:hint="eastAsia" w:ascii="宋体" w:hAnsi="宋体" w:eastAsia="宋体" w:cs="宋体"/>
          <w:sz w:val="21"/>
          <w:szCs w:val="21"/>
        </w:rPr>
        <w:t>③投标保证金</w:t>
      </w:r>
    </w:p>
    <w:p>
      <w:pPr>
        <w:pStyle w:val="6"/>
        <w:keepNext w:val="0"/>
        <w:keepLines w:val="0"/>
        <w:widowControl/>
        <w:suppressLineNumbers w:val="0"/>
        <w:ind w:left="0" w:firstLine="420"/>
      </w:pPr>
      <w:r>
        <w:rPr>
          <w:rFonts w:hint="eastAsia" w:ascii="宋体" w:hAnsi="宋体" w:eastAsia="宋体" w:cs="宋体"/>
          <w:sz w:val="21"/>
          <w:szCs w:val="21"/>
        </w:rPr>
        <w:t>（2）报价部分</w:t>
      </w:r>
    </w:p>
    <w:p>
      <w:pPr>
        <w:pStyle w:val="6"/>
        <w:keepNext w:val="0"/>
        <w:keepLines w:val="0"/>
        <w:widowControl/>
        <w:suppressLineNumbers w:val="0"/>
        <w:ind w:left="0" w:firstLine="420"/>
      </w:pPr>
      <w:r>
        <w:rPr>
          <w:rFonts w:hint="eastAsia" w:ascii="宋体" w:hAnsi="宋体" w:eastAsia="宋体" w:cs="宋体"/>
          <w:sz w:val="21"/>
          <w:szCs w:val="21"/>
        </w:rPr>
        <w:t>①开标一览表</w:t>
      </w:r>
    </w:p>
    <w:p>
      <w:pPr>
        <w:pStyle w:val="6"/>
        <w:keepNext w:val="0"/>
        <w:keepLines w:val="0"/>
        <w:widowControl/>
        <w:suppressLineNumbers w:val="0"/>
        <w:ind w:left="0" w:firstLine="420"/>
      </w:pPr>
      <w:r>
        <w:rPr>
          <w:rFonts w:hint="eastAsia" w:ascii="宋体" w:hAnsi="宋体" w:eastAsia="宋体" w:cs="宋体"/>
          <w:sz w:val="21"/>
          <w:szCs w:val="21"/>
        </w:rPr>
        <w:t>②投标分项报价表</w:t>
      </w:r>
    </w:p>
    <w:p>
      <w:pPr>
        <w:pStyle w:val="6"/>
        <w:keepNext w:val="0"/>
        <w:keepLines w:val="0"/>
        <w:widowControl/>
        <w:suppressLineNumbers w:val="0"/>
        <w:ind w:left="0" w:firstLine="420"/>
      </w:pPr>
      <w:r>
        <w:rPr>
          <w:rFonts w:hint="eastAsia" w:ascii="宋体" w:hAnsi="宋体" w:eastAsia="宋体" w:cs="宋体"/>
          <w:sz w:val="21"/>
          <w:szCs w:val="21"/>
        </w:rPr>
        <w:t>③招标文件规定的价格扣除证明材料（若有）</w:t>
      </w:r>
    </w:p>
    <w:p>
      <w:pPr>
        <w:pStyle w:val="6"/>
        <w:keepNext w:val="0"/>
        <w:keepLines w:val="0"/>
        <w:widowControl/>
        <w:suppressLineNumbers w:val="0"/>
        <w:ind w:left="0" w:firstLine="420"/>
      </w:pPr>
      <w:r>
        <w:rPr>
          <w:rFonts w:hint="eastAsia" w:ascii="宋体" w:hAnsi="宋体" w:eastAsia="宋体" w:cs="宋体"/>
          <w:sz w:val="21"/>
          <w:szCs w:val="21"/>
        </w:rPr>
        <w:t>④招标文件规定的加分证明材料（若有）</w:t>
      </w:r>
    </w:p>
    <w:p>
      <w:pPr>
        <w:pStyle w:val="6"/>
        <w:keepNext w:val="0"/>
        <w:keepLines w:val="0"/>
        <w:widowControl/>
        <w:suppressLineNumbers w:val="0"/>
        <w:ind w:left="0" w:firstLine="420"/>
      </w:pPr>
      <w:r>
        <w:rPr>
          <w:rFonts w:hint="eastAsia" w:ascii="宋体" w:hAnsi="宋体" w:eastAsia="宋体" w:cs="宋体"/>
          <w:sz w:val="21"/>
          <w:szCs w:val="21"/>
        </w:rPr>
        <w:t>（3）技术商务部分</w:t>
      </w:r>
    </w:p>
    <w:p>
      <w:pPr>
        <w:pStyle w:val="6"/>
        <w:keepNext w:val="0"/>
        <w:keepLines w:val="0"/>
        <w:widowControl/>
        <w:suppressLineNumbers w:val="0"/>
        <w:ind w:left="0" w:firstLine="420"/>
      </w:pPr>
      <w:r>
        <w:rPr>
          <w:rFonts w:hint="eastAsia" w:ascii="宋体" w:hAnsi="宋体" w:eastAsia="宋体" w:cs="宋体"/>
          <w:sz w:val="21"/>
          <w:szCs w:val="21"/>
        </w:rPr>
        <w:t>①标的说明一览表</w:t>
      </w:r>
    </w:p>
    <w:p>
      <w:pPr>
        <w:pStyle w:val="6"/>
        <w:keepNext w:val="0"/>
        <w:keepLines w:val="0"/>
        <w:widowControl/>
        <w:suppressLineNumbers w:val="0"/>
        <w:ind w:left="0" w:firstLine="420"/>
      </w:pPr>
      <w:r>
        <w:rPr>
          <w:rFonts w:hint="eastAsia" w:ascii="宋体" w:hAnsi="宋体" w:eastAsia="宋体" w:cs="宋体"/>
          <w:sz w:val="21"/>
          <w:szCs w:val="21"/>
        </w:rPr>
        <w:t>②技术和服务要求响应表</w:t>
      </w:r>
    </w:p>
    <w:p>
      <w:pPr>
        <w:pStyle w:val="6"/>
        <w:keepNext w:val="0"/>
        <w:keepLines w:val="0"/>
        <w:widowControl/>
        <w:suppressLineNumbers w:val="0"/>
        <w:ind w:left="0" w:firstLine="420"/>
      </w:pPr>
      <w:r>
        <w:rPr>
          <w:rFonts w:hint="eastAsia" w:ascii="宋体" w:hAnsi="宋体" w:eastAsia="宋体" w:cs="宋体"/>
          <w:sz w:val="21"/>
          <w:szCs w:val="21"/>
        </w:rPr>
        <w:t>③商务条件响应表</w:t>
      </w:r>
    </w:p>
    <w:p>
      <w:pPr>
        <w:pStyle w:val="6"/>
        <w:keepNext w:val="0"/>
        <w:keepLines w:val="0"/>
        <w:widowControl/>
        <w:suppressLineNumbers w:val="0"/>
        <w:ind w:left="0" w:firstLine="420"/>
      </w:pPr>
      <w:r>
        <w:rPr>
          <w:rFonts w:hint="eastAsia" w:ascii="宋体" w:hAnsi="宋体" w:eastAsia="宋体" w:cs="宋体"/>
          <w:sz w:val="21"/>
          <w:szCs w:val="21"/>
        </w:rPr>
        <w:t>④投标人提交的其他资料（若有）</w:t>
      </w:r>
    </w:p>
    <w:p>
      <w:pPr>
        <w:pStyle w:val="6"/>
        <w:keepNext w:val="0"/>
        <w:keepLines w:val="0"/>
        <w:widowControl/>
        <w:suppressLineNumbers w:val="0"/>
        <w:ind w:left="0" w:firstLine="420"/>
      </w:pPr>
      <w:r>
        <w:rPr>
          <w:rFonts w:hint="eastAsia" w:ascii="宋体" w:hAnsi="宋体" w:eastAsia="宋体" w:cs="宋体"/>
          <w:sz w:val="21"/>
          <w:szCs w:val="21"/>
        </w:rPr>
        <w:t>根据本函，本投标人代表宣布我方保证遵守招标文件的全部规定，同时：</w:t>
      </w:r>
    </w:p>
    <w:p>
      <w:pPr>
        <w:pStyle w:val="6"/>
        <w:keepNext w:val="0"/>
        <w:keepLines w:val="0"/>
        <w:widowControl/>
        <w:suppressLineNumbers w:val="0"/>
        <w:ind w:left="0" w:firstLine="420"/>
      </w:pPr>
      <w:r>
        <w:rPr>
          <w:rFonts w:hint="eastAsia" w:ascii="宋体" w:hAnsi="宋体" w:eastAsia="宋体" w:cs="宋体"/>
          <w:sz w:val="21"/>
          <w:szCs w:val="21"/>
        </w:rPr>
        <w:t>1、</w:t>
      </w:r>
      <w:r>
        <w:rPr>
          <w:rStyle w:val="8"/>
          <w:rFonts w:hint="eastAsia" w:ascii="宋体" w:hAnsi="宋体" w:eastAsia="宋体" w:cs="宋体"/>
          <w:sz w:val="21"/>
          <w:szCs w:val="21"/>
        </w:rPr>
        <w:t>确认：</w:t>
      </w:r>
    </w:p>
    <w:p>
      <w:pPr>
        <w:pStyle w:val="6"/>
        <w:keepNext w:val="0"/>
        <w:keepLines w:val="0"/>
        <w:widowControl/>
        <w:suppressLineNumbers w:val="0"/>
        <w:ind w:left="0" w:firstLine="420"/>
      </w:pPr>
      <w:r>
        <w:rPr>
          <w:rFonts w:hint="eastAsia" w:ascii="宋体" w:hAnsi="宋体" w:eastAsia="宋体" w:cs="宋体"/>
          <w:sz w:val="21"/>
          <w:szCs w:val="21"/>
        </w:rPr>
        <w:t>1.1所投合同包的投标报价详见“开标一览表”及“投标分项报价表”。</w:t>
      </w:r>
    </w:p>
    <w:p>
      <w:pPr>
        <w:pStyle w:val="6"/>
        <w:keepNext w:val="0"/>
        <w:keepLines w:val="0"/>
        <w:widowControl/>
        <w:suppressLineNumbers w:val="0"/>
        <w:ind w:lef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6"/>
        <w:keepNext w:val="0"/>
        <w:keepLines w:val="0"/>
        <w:widowControl/>
        <w:suppressLineNumbers w:val="0"/>
        <w:ind w:left="0" w:firstLine="420"/>
      </w:pPr>
      <w:r>
        <w:rPr>
          <w:rFonts w:hint="eastAsia" w:ascii="宋体" w:hAnsi="宋体" w:eastAsia="宋体" w:cs="宋体"/>
          <w:sz w:val="21"/>
          <w:szCs w:val="21"/>
        </w:rPr>
        <w:t>2、</w:t>
      </w:r>
      <w:r>
        <w:rPr>
          <w:rStyle w:val="8"/>
          <w:rFonts w:hint="eastAsia" w:ascii="宋体" w:hAnsi="宋体" w:eastAsia="宋体" w:cs="宋体"/>
          <w:sz w:val="21"/>
          <w:szCs w:val="21"/>
        </w:rPr>
        <w:t>承诺及声明：</w:t>
      </w:r>
    </w:p>
    <w:p>
      <w:pPr>
        <w:pStyle w:val="6"/>
        <w:keepNext w:val="0"/>
        <w:keepLines w:val="0"/>
        <w:widowControl/>
        <w:suppressLineNumbers w:val="0"/>
        <w:ind w:lef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8"/>
          <w:rFonts w:hint="eastAsia" w:ascii="宋体" w:hAnsi="宋体" w:eastAsia="宋体" w:cs="宋体"/>
          <w:sz w:val="21"/>
          <w:szCs w:val="21"/>
        </w:rPr>
        <w:t>投标无效。</w:t>
      </w:r>
    </w:p>
    <w:p>
      <w:pPr>
        <w:pStyle w:val="6"/>
        <w:keepNext w:val="0"/>
        <w:keepLines w:val="0"/>
        <w:widowControl/>
        <w:suppressLineNumbers w:val="0"/>
        <w:ind w:lef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2.3我方提供的标的价格不高于同期市场价格，否则产生不利后果由我方承担责任。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2.4投标保证金：若出现招标文件第三章规定的不予退还情形，同意贵单位不予退还。</w:t>
      </w:r>
    </w:p>
    <w:p>
      <w:pPr>
        <w:pStyle w:val="6"/>
        <w:keepNext w:val="0"/>
        <w:keepLines w:val="0"/>
        <w:widowControl/>
        <w:suppressLineNumbers w:val="0"/>
        <w:ind w:left="0" w:firstLine="420"/>
      </w:pPr>
      <w:r>
        <w:rPr>
          <w:rFonts w:hint="eastAsia" w:ascii="宋体" w:hAnsi="宋体" w:eastAsia="宋体" w:cs="宋体"/>
          <w:sz w:val="21"/>
          <w:szCs w:val="21"/>
        </w:rPr>
        <w:t>2.5投标有效期：按照招标文件第三章规定执行，并在招标文件第二章载明的期限内保持有效。</w:t>
      </w:r>
    </w:p>
    <w:p>
      <w:pPr>
        <w:pStyle w:val="6"/>
        <w:keepNext w:val="0"/>
        <w:keepLines w:val="0"/>
        <w:widowControl/>
        <w:suppressLineNumbers w:val="0"/>
        <w:ind w:left="0" w:firstLine="420"/>
      </w:pPr>
      <w:r>
        <w:rPr>
          <w:rFonts w:hint="eastAsia" w:ascii="宋体" w:hAnsi="宋体" w:eastAsia="宋体" w:cs="宋体"/>
          <w:sz w:val="21"/>
          <w:szCs w:val="21"/>
        </w:rPr>
        <w:t>2.6若中标，将按照招标文件、我方投标文件及政府采购合同履行责任和义务。</w:t>
      </w:r>
    </w:p>
    <w:p>
      <w:pPr>
        <w:pStyle w:val="6"/>
        <w:keepNext w:val="0"/>
        <w:keepLines w:val="0"/>
        <w:widowControl/>
        <w:suppressLineNumbers w:val="0"/>
        <w:ind w:lef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p>
    <w:p>
      <w:pPr>
        <w:pStyle w:val="6"/>
        <w:keepNext w:val="0"/>
        <w:keepLines w:val="0"/>
        <w:widowControl/>
        <w:suppressLineNumbers w:val="0"/>
        <w:ind w:left="0" w:firstLine="420"/>
      </w:pPr>
      <w:r>
        <w:rPr>
          <w:rFonts w:hint="eastAsia" w:ascii="宋体" w:hAnsi="宋体" w:eastAsia="宋体" w:cs="宋体"/>
          <w:sz w:val="21"/>
          <w:szCs w:val="21"/>
        </w:rPr>
        <w:t>2.8除招标文件另有规定外，对于贵单位按照下述联络方式发出的任何信息或通知，均视为我方已收悉前述信息或通知的全部内容：</w:t>
      </w:r>
    </w:p>
    <w:p>
      <w:pPr>
        <w:pStyle w:val="6"/>
        <w:keepNext w:val="0"/>
        <w:keepLines w:val="0"/>
        <w:widowControl/>
        <w:suppressLineNumbers w:val="0"/>
        <w:ind w:left="0" w:firstLine="420"/>
      </w:pPr>
      <w:r>
        <w:rPr>
          <w:rFonts w:hint="eastAsia" w:ascii="宋体" w:hAnsi="宋体" w:eastAsia="宋体" w:cs="宋体"/>
          <w:sz w:val="21"/>
          <w:szCs w:val="21"/>
        </w:rPr>
        <w:t>通信地址：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联系方法：</w:t>
      </w:r>
      <w:r>
        <w:rPr>
          <w:rFonts w:hint="eastAsia" w:ascii="宋体" w:hAnsi="宋体" w:eastAsia="宋体" w:cs="宋体"/>
          <w:sz w:val="21"/>
          <w:szCs w:val="21"/>
          <w:u w:val="single"/>
        </w:rPr>
        <w:t>（包括但不限于：联系人、联系电话、手机、传真、电子邮箱等）</w:t>
      </w:r>
    </w:p>
    <w:p>
      <w:pPr>
        <w:pStyle w:val="6"/>
        <w:keepNext w:val="0"/>
        <w:keepLines w:val="0"/>
        <w:widowControl/>
        <w:suppressLineNumbers w:val="0"/>
        <w:ind w:left="0" w:firstLine="420"/>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ind w:left="0" w:firstLine="42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二、投标人的资格及资信证明文件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1"/>
          <w:szCs w:val="21"/>
        </w:rPr>
        <w:t>二-1单位负责人授权书（若有）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keepNext w:val="0"/>
        <w:keepLines w:val="0"/>
        <w:widowControl/>
        <w:suppressLineNumbers w:val="0"/>
        <w:ind w:left="0" w:firstLine="420"/>
      </w:pPr>
      <w:r>
        <w:rPr>
          <w:rFonts w:hint="eastAsia" w:ascii="宋体" w:hAnsi="宋体" w:eastAsia="宋体" w:cs="宋体"/>
          <w:sz w:val="21"/>
          <w:szCs w:val="21"/>
        </w:rPr>
        <w:t>投标人代表无转委权。特此授权。</w:t>
      </w:r>
    </w:p>
    <w:p>
      <w:pPr>
        <w:pStyle w:val="6"/>
        <w:keepNext w:val="0"/>
        <w:keepLines w:val="0"/>
        <w:widowControl/>
        <w:suppressLineNumbers w:val="0"/>
        <w:jc w:val="center"/>
      </w:pPr>
      <w:r>
        <w:rPr>
          <w:rFonts w:hint="eastAsia" w:ascii="宋体" w:hAnsi="宋体" w:eastAsia="宋体" w:cs="宋体"/>
          <w:sz w:val="21"/>
          <w:szCs w:val="21"/>
        </w:rPr>
        <w:t>（以下无正文）</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授权方</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单位负责人签字或盖章：</w:t>
      </w:r>
      <w:r>
        <w:rPr>
          <w:rFonts w:hint="eastAsia" w:ascii="宋体" w:hAnsi="宋体" w:eastAsia="宋体" w:cs="宋体"/>
          <w:sz w:val="21"/>
          <w:szCs w:val="21"/>
          <w:u w:val="single"/>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接受授权方</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附：单位负责人、投标人代表的身份证正反面复印件</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846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Style w:val="8"/>
                <w:rFonts w:hint="eastAsia" w:ascii="宋体" w:hAnsi="宋体" w:eastAsia="宋体" w:cs="宋体"/>
                <w:sz w:val="21"/>
                <w:szCs w:val="21"/>
                <w:bdr w:val="none" w:color="auto" w:sz="0" w:space="0"/>
              </w:rPr>
              <w:t> </w:t>
            </w:r>
          </w:p>
          <w:p>
            <w:pPr>
              <w:pStyle w:val="6"/>
              <w:keepNext w:val="0"/>
              <w:keepLines w:val="0"/>
              <w:widowControl/>
              <w:suppressLineNumbers w:val="0"/>
              <w:jc w:val="center"/>
            </w:pPr>
            <w:r>
              <w:rPr>
                <w:rStyle w:val="8"/>
                <w:rFonts w:hint="eastAsia" w:ascii="宋体" w:hAnsi="宋体" w:eastAsia="宋体" w:cs="宋体"/>
                <w:sz w:val="21"/>
                <w:szCs w:val="21"/>
                <w:bdr w:val="none" w:color="auto" w:sz="0" w:space="0"/>
              </w:rPr>
              <w:t>要求：真实有效且内容完整、清晰、整洁。</w:t>
            </w:r>
          </w:p>
          <w:p>
            <w:pPr>
              <w:pStyle w:val="6"/>
              <w:keepNext w:val="0"/>
              <w:keepLines w:val="0"/>
              <w:widowControl/>
              <w:suppressLineNumbers w:val="0"/>
              <w:jc w:val="center"/>
            </w:pPr>
            <w:r>
              <w:rPr>
                <w:rStyle w:val="8"/>
                <w:rFonts w:hint="eastAsia" w:ascii="宋体" w:hAnsi="宋体" w:eastAsia="宋体" w:cs="宋体"/>
                <w:sz w:val="21"/>
                <w:szCs w:val="21"/>
                <w:bdr w:val="none" w:color="auto" w:sz="0" w:space="0"/>
              </w:rPr>
              <w:t> </w:t>
            </w:r>
          </w:p>
        </w:tc>
      </w:tr>
    </w:tbl>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1、企业（银行、保险、石油石化、电力、电信等行业除外）、事业单位和社会团体法人的“单位负责人”指</w:t>
      </w:r>
      <w:r>
        <w:rPr>
          <w:rStyle w:val="8"/>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pPr>
        <w:pStyle w:val="6"/>
        <w:keepNext w:val="0"/>
        <w:keepLines w:val="0"/>
        <w:widowControl/>
        <w:suppressLineNumbers w:val="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keepNext w:val="0"/>
        <w:keepLines w:val="0"/>
        <w:widowControl/>
        <w:suppressLineNumbers w:val="0"/>
      </w:pPr>
      <w:r>
        <w:rPr>
          <w:rFonts w:hint="eastAsia"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r>
        <w:rPr>
          <w:rFonts w:hint="eastAsia" w:ascii="宋体" w:hAnsi="宋体" w:eastAsia="宋体" w:cs="宋体"/>
          <w:sz w:val="21"/>
          <w:szCs w:val="21"/>
        </w:rPr>
        <w:br w:type="textWrapping"/>
      </w:r>
      <w:r>
        <w:rPr>
          <w:rFonts w:hint="eastAsia" w:ascii="宋体" w:hAnsi="宋体" w:eastAsia="宋体" w:cs="宋体"/>
          <w:sz w:val="21"/>
          <w:szCs w:val="21"/>
        </w:rPr>
        <w:t>5、纸质投标文件正本中的本授权书（若有）应为原件。</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二-2营业执照等证明文件</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 ）投标人为法人（包括企业、事业单位和社会团体）的</w:t>
      </w:r>
    </w:p>
    <w:p>
      <w:pPr>
        <w:pStyle w:val="6"/>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）投标人为非法人（包括其他组织、自然人）的</w:t>
      </w:r>
    </w:p>
    <w:p>
      <w:pPr>
        <w:pStyle w:val="6"/>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keepNext w:val="0"/>
        <w:keepLines w:val="0"/>
        <w:widowControl/>
        <w:suppressLineNumbers w:val="0"/>
      </w:pPr>
      <w:r>
        <w:rPr>
          <w:rFonts w:hint="eastAsia" w:ascii="宋体" w:hAnsi="宋体" w:eastAsia="宋体" w:cs="宋体"/>
          <w:sz w:val="21"/>
          <w:szCs w:val="21"/>
        </w:rPr>
        <w:t>3、投标人提供的相应证明材料复印件均应符合：内容完整、清晰、整洁，并由投标人加盖其单位公章。</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二-3财务状况报告（财务报告、或资信证明、或投标担保函）</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 ）投标人提供财务报告的</w:t>
      </w:r>
    </w:p>
    <w:p>
      <w:pPr>
        <w:pStyle w:val="6"/>
        <w:keepNext w:val="0"/>
        <w:keepLines w:val="0"/>
        <w:widowControl/>
        <w:suppressLineNumbers w:val="0"/>
        <w:ind w:lef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□社会团体适用：现附上我方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）投标人提供资信证明的</w:t>
      </w:r>
    </w:p>
    <w:p>
      <w:pPr>
        <w:pStyle w:val="6"/>
        <w:keepNext w:val="0"/>
        <w:keepLines w:val="0"/>
        <w:widowControl/>
        <w:suppressLineNumbers w:val="0"/>
        <w:ind w:left="0" w:firstLine="420"/>
      </w:pPr>
      <w:r>
        <w:rPr>
          <w:rFonts w:hint="eastAsia" w:ascii="宋体" w:hAnsi="宋体" w:eastAsia="宋体" w:cs="宋体"/>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）投标人提供投标担保函的</w:t>
      </w:r>
    </w:p>
    <w:p>
      <w:pPr>
        <w:pStyle w:val="6"/>
        <w:keepNext w:val="0"/>
        <w:keepLines w:val="0"/>
        <w:widowControl/>
        <w:suppressLineNumbers w:val="0"/>
        <w:ind w:left="0" w:firstLine="420"/>
      </w:pPr>
      <w:r>
        <w:rPr>
          <w:rFonts w:hint="eastAsia" w:ascii="宋体" w:hAnsi="宋体" w:eastAsia="宋体" w:cs="宋体"/>
          <w:sz w:val="21"/>
          <w:szCs w:val="21"/>
        </w:rPr>
        <w:t>现附上由财政部门认可的政府采购专业担保机构：</w:t>
      </w:r>
      <w:r>
        <w:rPr>
          <w:rFonts w:hint="eastAsia" w:ascii="宋体" w:hAnsi="宋体" w:eastAsia="宋体" w:cs="宋体"/>
          <w:sz w:val="21"/>
          <w:szCs w:val="21"/>
          <w:u w:val="single"/>
        </w:rPr>
        <w:t>（填写“担保机构全称”）</w:t>
      </w:r>
      <w:r>
        <w:rPr>
          <w:rFonts w:hint="eastAsia" w:ascii="宋体" w:hAnsi="宋体" w:eastAsia="宋体" w:cs="宋体"/>
          <w:sz w:val="21"/>
          <w:szCs w:val="21"/>
        </w:rPr>
        <w:t>出具的投标担保函复印件，上述证明材料真实有效，否则我方负全部责任。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2、投标人提供的财务报告复印件（成立年限按照投标截止时间推算）应符合下列规定：</w:t>
      </w:r>
    </w:p>
    <w:p>
      <w:pPr>
        <w:pStyle w:val="6"/>
        <w:keepNext w:val="0"/>
        <w:keepLines w:val="0"/>
        <w:widowControl/>
        <w:suppressLineNumbers w:val="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年及以上的投标人，提供经审计的上一年度的年度财务报告。</w:t>
      </w:r>
    </w:p>
    <w:p>
      <w:pPr>
        <w:pStyle w:val="6"/>
        <w:keepNext w:val="0"/>
        <w:keepLines w:val="0"/>
        <w:widowControl/>
        <w:suppressLineNumbers w:val="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6"/>
        <w:keepNext w:val="0"/>
        <w:keepLines w:val="0"/>
        <w:widowControl/>
        <w:suppressLineNumbers w:val="0"/>
      </w:pPr>
      <w:r>
        <w:rPr>
          <w:rStyle w:val="8"/>
          <w:rFonts w:hint="eastAsia"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pPr>
        <w:pStyle w:val="6"/>
        <w:keepNext w:val="0"/>
        <w:keepLines w:val="0"/>
        <w:widowControl/>
        <w:suppressLineNumbers w:val="0"/>
      </w:pPr>
      <w:r>
        <w:rPr>
          <w:rFonts w:hint="eastAsia" w:ascii="宋体" w:hAnsi="宋体" w:eastAsia="宋体" w:cs="宋体"/>
          <w:sz w:val="21"/>
          <w:szCs w:val="21"/>
        </w:rPr>
        <w:t>3、“财政部门认可的政府采购专业担保机构”应符合《财政部关于开展政府采购信用担保试点工作方案》（财库</w:t>
      </w:r>
      <w:r>
        <w:rPr>
          <w:rFonts w:hint="default" w:ascii="Calibri" w:hAnsi="Calibri" w:eastAsia="宋体" w:cs="Calibri"/>
          <w:sz w:val="21"/>
          <w:szCs w:val="21"/>
        </w:rPr>
        <w:t>[2012]124</w:t>
      </w:r>
      <w:r>
        <w:rPr>
          <w:rFonts w:hint="eastAsia" w:ascii="宋体" w:hAnsi="宋体" w:eastAsia="宋体" w:cs="宋体"/>
          <w:sz w:val="21"/>
          <w:szCs w:val="21"/>
        </w:rPr>
        <w:t>号）的规定。</w:t>
      </w:r>
    </w:p>
    <w:p>
      <w:pPr>
        <w:pStyle w:val="6"/>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sz w:val="21"/>
          <w:szCs w:val="21"/>
        </w:rPr>
        <w:t>-4依法缴纳税收证明材料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1、依法缴纳税收的投标人</w:t>
      </w:r>
    </w:p>
    <w:p>
      <w:pPr>
        <w:pStyle w:val="6"/>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（按照投标人实际缴纳的税种名称填写，如：增值税、所得税等）</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2、依法免税的投标人</w:t>
      </w:r>
    </w:p>
    <w:p>
      <w:pPr>
        <w:pStyle w:val="6"/>
        <w:keepNext w:val="0"/>
        <w:keepLines w:val="0"/>
        <w:widowControl/>
        <w:suppressLineNumbers w:val="0"/>
        <w:ind w:left="0" w:firstLine="420"/>
      </w:pPr>
      <w:r>
        <w:rPr>
          <w:rFonts w:hint="eastAsia" w:ascii="宋体" w:hAnsi="宋体" w:eastAsia="宋体" w:cs="宋体"/>
          <w:sz w:val="21"/>
          <w:szCs w:val="21"/>
        </w:rPr>
        <w:t>（ ）现附上我方依法免税证明材料复印件，上述证明材料真实有效，否则我方负全部责任。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2、投标人提供的税收凭据复印件应符合下列规定：</w:t>
      </w:r>
    </w:p>
    <w:p>
      <w:pPr>
        <w:pStyle w:val="6"/>
        <w:keepNext w:val="0"/>
        <w:keepLines w:val="0"/>
        <w:widowControl/>
        <w:suppressLineNumbers w:val="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6"/>
        <w:keepNext w:val="0"/>
        <w:keepLines w:val="0"/>
        <w:widowControl/>
        <w:suppressLineNumbers w:val="0"/>
      </w:pPr>
      <w:r>
        <w:rPr>
          <w:rFonts w:hint="eastAsia" w:ascii="宋体" w:hAnsi="宋体" w:eastAsia="宋体" w:cs="宋体"/>
          <w:sz w:val="21"/>
          <w:szCs w:val="21"/>
        </w:rPr>
        <w:t>2.2投标截止时间的当月成立且已依法缴纳税收的投标人，提供投标截止时间当月的税收凭据复印件。</w:t>
      </w:r>
    </w:p>
    <w:p>
      <w:pPr>
        <w:pStyle w:val="6"/>
        <w:keepNext w:val="0"/>
        <w:keepLines w:val="0"/>
        <w:widowControl/>
        <w:suppressLineNumbers w:val="0"/>
      </w:pPr>
      <w:r>
        <w:rPr>
          <w:rFonts w:hint="eastAsia"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pPr>
        <w:pStyle w:val="6"/>
        <w:keepNext w:val="0"/>
        <w:keepLines w:val="0"/>
        <w:widowControl/>
        <w:suppressLineNumbers w:val="0"/>
      </w:pPr>
      <w:r>
        <w:rPr>
          <w:rFonts w:hint="eastAsia" w:ascii="宋体" w:hAnsi="宋体" w:eastAsia="宋体" w:cs="宋体"/>
          <w:sz w:val="21"/>
          <w:szCs w:val="21"/>
        </w:rPr>
        <w:t>3、</w:t>
      </w:r>
      <w:r>
        <w:rPr>
          <w:rStyle w:val="8"/>
          <w:rFonts w:hint="eastAsia" w:ascii="宋体" w:hAnsi="宋体" w:eastAsia="宋体" w:cs="宋体"/>
          <w:sz w:val="21"/>
          <w:szCs w:val="21"/>
        </w:rPr>
        <w:t>“依法缴纳税收证明材料”</w:t>
      </w:r>
      <w:r>
        <w:rPr>
          <w:rFonts w:hint="eastAsia" w:ascii="宋体" w:hAnsi="宋体" w:eastAsia="宋体" w:cs="宋体"/>
          <w:sz w:val="21"/>
          <w:szCs w:val="21"/>
        </w:rPr>
        <w:t>有欠缴记录的，视为</w:t>
      </w:r>
      <w:r>
        <w:rPr>
          <w:rStyle w:val="8"/>
          <w:rFonts w:hint="eastAsia" w:ascii="宋体" w:hAnsi="宋体" w:eastAsia="宋体" w:cs="宋体"/>
          <w:sz w:val="21"/>
          <w:szCs w:val="21"/>
        </w:rPr>
        <w:t>未依法缴纳税收。</w:t>
      </w:r>
    </w:p>
    <w:p>
      <w:pPr>
        <w:pStyle w:val="6"/>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二-5依法缴纳社会保障资金证明材料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6"/>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2、依法不需要缴纳社会保障资金的投标人</w:t>
      </w:r>
    </w:p>
    <w:p>
      <w:pPr>
        <w:pStyle w:val="6"/>
        <w:keepNext w:val="0"/>
        <w:keepLines w:val="0"/>
        <w:widowControl/>
        <w:suppressLineNumbers w:val="0"/>
        <w:ind w:lef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2、投标人提供的社会保险凭据复印件应符合下列规定：</w:t>
      </w:r>
    </w:p>
    <w:p>
      <w:pPr>
        <w:pStyle w:val="6"/>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6"/>
        <w:keepNext w:val="0"/>
        <w:keepLines w:val="0"/>
        <w:widowControl/>
        <w:suppressLineNumbers w:val="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6"/>
        <w:keepNext w:val="0"/>
        <w:keepLines w:val="0"/>
        <w:widowControl/>
        <w:suppressLineNumbers w:val="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6"/>
        <w:keepNext w:val="0"/>
        <w:keepLines w:val="0"/>
        <w:widowControl/>
        <w:suppressLineNumbers w:val="0"/>
      </w:pPr>
      <w:r>
        <w:rPr>
          <w:rFonts w:hint="eastAsia" w:ascii="宋体" w:hAnsi="宋体" w:eastAsia="宋体" w:cs="宋体"/>
          <w:sz w:val="21"/>
          <w:szCs w:val="21"/>
        </w:rPr>
        <w:t>3、</w:t>
      </w:r>
      <w:r>
        <w:rPr>
          <w:rStyle w:val="8"/>
          <w:rFonts w:hint="eastAsia" w:ascii="宋体" w:hAnsi="宋体" w:eastAsia="宋体" w:cs="宋体"/>
          <w:sz w:val="21"/>
          <w:szCs w:val="21"/>
        </w:rPr>
        <w:t>“依法缴纳社会保障资金证明材料”</w:t>
      </w:r>
      <w:r>
        <w:rPr>
          <w:rFonts w:hint="eastAsia" w:ascii="宋体" w:hAnsi="宋体" w:eastAsia="宋体" w:cs="宋体"/>
          <w:sz w:val="21"/>
          <w:szCs w:val="21"/>
        </w:rPr>
        <w:t>有欠缴记录的，视为</w:t>
      </w:r>
      <w:r>
        <w:rPr>
          <w:rStyle w:val="8"/>
          <w:rFonts w:hint="eastAsia" w:ascii="宋体" w:hAnsi="宋体" w:eastAsia="宋体" w:cs="宋体"/>
          <w:sz w:val="21"/>
          <w:szCs w:val="21"/>
        </w:rPr>
        <w:t>未依法缴纳社会保障资金。</w:t>
      </w:r>
    </w:p>
    <w:p>
      <w:pPr>
        <w:pStyle w:val="6"/>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sz w:val="21"/>
          <w:szCs w:val="21"/>
        </w:rPr>
        <w:t>-6具备履行合同所必需设备和专业技术能力的声明函（若有）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我方具备履行合同所必需的设备和专业技术能力，否则产生不利后果由我方承担责任。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特此声明。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6"/>
        <w:keepNext w:val="0"/>
        <w:keepLines w:val="0"/>
        <w:widowControl/>
        <w:suppressLineNumbers w:val="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6"/>
        <w:keepNext w:val="0"/>
        <w:keepLines w:val="0"/>
        <w:widowControl/>
        <w:suppressLineNumbers w:val="0"/>
      </w:pPr>
      <w:r>
        <w:rPr>
          <w:rFonts w:hint="eastAsia" w:ascii="宋体" w:hAnsi="宋体" w:eastAsia="宋体" w:cs="宋体"/>
          <w:sz w:val="21"/>
          <w:szCs w:val="21"/>
        </w:rPr>
        <w:t>3、纸质投标文件正本中的本声明函（若有）应为原件。</w:t>
      </w:r>
    </w:p>
    <w:p>
      <w:pPr>
        <w:pStyle w:val="6"/>
        <w:keepNext w:val="0"/>
        <w:keepLines w:val="0"/>
        <w:widowControl/>
        <w:suppressLineNumbers w:val="0"/>
      </w:pPr>
      <w:r>
        <w:rPr>
          <w:rFonts w:hint="eastAsia" w:ascii="宋体" w:hAnsi="宋体" w:eastAsia="宋体" w:cs="宋体"/>
          <w:sz w:val="21"/>
          <w:szCs w:val="21"/>
        </w:rPr>
        <w:t>4、请投标人根据实际情况如实声明，否则</w:t>
      </w:r>
      <w:r>
        <w:rPr>
          <w:rStyle w:val="8"/>
          <w:rFonts w:hint="eastAsia" w:ascii="宋体" w:hAnsi="宋体" w:eastAsia="宋体" w:cs="宋体"/>
          <w:sz w:val="21"/>
          <w:szCs w:val="21"/>
        </w:rPr>
        <w:t>视为提供虚假材料。</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sz w:val="21"/>
          <w:szCs w:val="21"/>
        </w:rPr>
        <w:t>-7参加采购活动前三年内在经营活动中没有重大违法记录书面声明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参加采购活动前三年内，我方在经营活动中没有重大违法记录，也无行贿犯罪记录，否则产生不利后果由我方承担责任。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特此声明。</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1、“重大违法记录”指投标人因违法经营受到刑事处罚或责令停产停业、吊销许可证或执照、较大数额罚款等行政处罚。</w:t>
      </w:r>
    </w:p>
    <w:p>
      <w:pPr>
        <w:pStyle w:val="6"/>
        <w:keepNext w:val="0"/>
        <w:keepLines w:val="0"/>
        <w:widowControl/>
        <w:suppressLineNumbers w:val="0"/>
      </w:pPr>
      <w:r>
        <w:rPr>
          <w:rFonts w:hint="eastAsia" w:ascii="宋体" w:hAnsi="宋体" w:eastAsia="宋体" w:cs="宋体"/>
          <w:sz w:val="21"/>
          <w:szCs w:val="21"/>
        </w:rPr>
        <w:t>2、纸质投标文件正本中的本声明应为原件。</w:t>
      </w:r>
    </w:p>
    <w:p>
      <w:pPr>
        <w:pStyle w:val="6"/>
        <w:keepNext w:val="0"/>
        <w:keepLines w:val="0"/>
        <w:widowControl/>
        <w:suppressLineNumbers w:val="0"/>
      </w:pPr>
      <w:r>
        <w:rPr>
          <w:rFonts w:hint="eastAsia" w:ascii="宋体" w:hAnsi="宋体" w:eastAsia="宋体" w:cs="宋体"/>
          <w:sz w:val="21"/>
          <w:szCs w:val="21"/>
        </w:rPr>
        <w:t>3、请投标人根据实际情况如实声明，否则</w:t>
      </w:r>
      <w:r>
        <w:rPr>
          <w:rStyle w:val="8"/>
          <w:rFonts w:hint="eastAsia" w:ascii="宋体" w:hAnsi="宋体" w:eastAsia="宋体" w:cs="宋体"/>
          <w:sz w:val="21"/>
          <w:szCs w:val="21"/>
        </w:rPr>
        <w:t>视为提供虚假材料。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sz w:val="21"/>
          <w:szCs w:val="21"/>
        </w:rPr>
        <w:t>-8信用记录查询结果</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现附上截至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u w:val="single"/>
        </w:rPr>
        <w:t>   </w:t>
      </w:r>
      <w:r>
        <w:rPr>
          <w:rFonts w:hint="eastAsia" w:ascii="宋体" w:hAnsi="宋体" w:eastAsia="宋体" w:cs="宋体"/>
          <w:sz w:val="21"/>
          <w:szCs w:val="21"/>
        </w:rPr>
        <w:t>时我方通过“信用中国”网站（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份、通过中国政府采购网（www.ccgp.gov.cn）获取的我方信用信息查询结果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份，上述信用信息查询结果真实有效，否则我方负全部责任。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投标人应在招标文件要求的截止时点前分别通过“信用中国”网站（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）、中国政府采购网（</w:t>
      </w:r>
      <w:r>
        <w:rPr>
          <w:rFonts w:hint="default" w:ascii="Calibri" w:hAnsi="Calibri" w:eastAsia="宋体" w:cs="Calibri"/>
          <w:sz w:val="21"/>
          <w:szCs w:val="21"/>
        </w:rPr>
        <w:t>www.ccgp.gov.cn</w:t>
      </w:r>
      <w:r>
        <w:rPr>
          <w:rFonts w:hint="eastAsia" w:ascii="宋体" w:hAnsi="宋体" w:eastAsia="宋体" w:cs="宋体"/>
          <w:sz w:val="21"/>
          <w:szCs w:val="21"/>
        </w:rPr>
        <w:t>）查询并打印相应的信用记录，投标人提供的查询结果应为其通过上述网站获取的信用信息查询结果原始页面的打印件（或截图）。</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default" w:ascii="Calibri" w:hAnsi="Calibri" w:cs="Calibri"/>
          <w:sz w:val="21"/>
          <w:szCs w:val="21"/>
        </w:rPr>
        <w:br w:type="textWrapping"/>
      </w:r>
      <w:r>
        <w:rPr>
          <w:rStyle w:val="8"/>
          <w:rFonts w:hint="eastAsia" w:ascii="宋体" w:hAnsi="宋体" w:eastAsia="宋体" w:cs="宋体"/>
          <w:sz w:val="21"/>
          <w:szCs w:val="21"/>
        </w:rPr>
        <w:t>二-9检察机关行贿犯罪档案查询结果告知函</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检察机关行贿犯罪档案查询结果告知函（以下简称：“告知函”）由投标人向住所地或业务发生地检察院申请查询，具体以检察院出具的为准。</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1、未提供行贿犯罪档案查询结果或查询结果表明投标人有行贿犯罪记录的，</w:t>
      </w:r>
      <w:r>
        <w:rPr>
          <w:rStyle w:val="8"/>
          <w:rFonts w:hint="eastAsia" w:ascii="宋体" w:hAnsi="宋体" w:eastAsia="宋体" w:cs="宋体"/>
          <w:sz w:val="21"/>
          <w:szCs w:val="21"/>
        </w:rPr>
        <w:t>投标无效。</w:t>
      </w:r>
    </w:p>
    <w:p>
      <w:pPr>
        <w:pStyle w:val="6"/>
        <w:keepNext w:val="0"/>
        <w:keepLines w:val="0"/>
        <w:widowControl/>
        <w:suppressLineNumbers w:val="0"/>
      </w:pPr>
      <w:r>
        <w:rPr>
          <w:rFonts w:hint="eastAsia" w:ascii="宋体" w:hAnsi="宋体" w:eastAsia="宋体" w:cs="宋体"/>
          <w:sz w:val="21"/>
          <w:szCs w:val="21"/>
        </w:rPr>
        <w:t>2、若从检察机关指定网站下载打印或截图告知函，则告知函应为从前述指定网站获取的查询结果原始页面的打印件（或截图），否则</w:t>
      </w:r>
      <w:r>
        <w:rPr>
          <w:rStyle w:val="8"/>
          <w:rFonts w:hint="eastAsia" w:ascii="宋体" w:hAnsi="宋体" w:eastAsia="宋体" w:cs="宋体"/>
          <w:sz w:val="21"/>
          <w:szCs w:val="21"/>
        </w:rPr>
        <w:t>投标无效。</w:t>
      </w:r>
    </w:p>
    <w:p>
      <w:pPr>
        <w:pStyle w:val="6"/>
        <w:keepNext w:val="0"/>
        <w:keepLines w:val="0"/>
        <w:widowControl/>
        <w:suppressLineNumbers w:val="0"/>
      </w:pPr>
      <w:r>
        <w:rPr>
          <w:rFonts w:hint="eastAsia" w:ascii="宋体" w:hAnsi="宋体" w:eastAsia="宋体" w:cs="宋体"/>
          <w:sz w:val="21"/>
          <w:szCs w:val="21"/>
        </w:rPr>
        <w:t>3、告知函应在有效期内且内容完整、清晰、整洁，否则</w:t>
      </w:r>
      <w:r>
        <w:rPr>
          <w:rStyle w:val="8"/>
          <w:rFonts w:hint="eastAsia" w:ascii="宋体" w:hAnsi="宋体" w:eastAsia="宋体" w:cs="宋体"/>
          <w:sz w:val="21"/>
          <w:szCs w:val="21"/>
        </w:rPr>
        <w:t>投标无效。</w:t>
      </w:r>
    </w:p>
    <w:p>
      <w:pPr>
        <w:pStyle w:val="6"/>
        <w:keepNext w:val="0"/>
        <w:keepLines w:val="0"/>
        <w:widowControl/>
        <w:suppressLineNumbers w:val="0"/>
      </w:pPr>
      <w:r>
        <w:rPr>
          <w:rFonts w:hint="eastAsia" w:ascii="宋体" w:hAnsi="宋体" w:eastAsia="宋体" w:cs="宋体"/>
          <w:sz w:val="21"/>
          <w:szCs w:val="21"/>
        </w:rPr>
        <w:t>4、有效期内的告知函复印件（含扫描件）及符合招标文件第七章规定的打印件（或截图），无论内容中是否注明“复印件无效”，</w:t>
      </w:r>
      <w:r>
        <w:rPr>
          <w:rStyle w:val="8"/>
          <w:rFonts w:hint="eastAsia" w:ascii="宋体" w:hAnsi="宋体" w:eastAsia="宋体" w:cs="宋体"/>
          <w:sz w:val="21"/>
          <w:szCs w:val="21"/>
        </w:rPr>
        <w:t>均视同有效。</w:t>
      </w:r>
    </w:p>
    <w:p>
      <w:pPr>
        <w:pStyle w:val="6"/>
        <w:keepNext w:val="0"/>
        <w:keepLines w:val="0"/>
        <w:widowControl/>
        <w:suppressLineNumbers w:val="0"/>
      </w:pPr>
      <w:r>
        <w:rPr>
          <w:rFonts w:hint="eastAsia" w:ascii="宋体" w:hAnsi="宋体" w:eastAsia="宋体" w:cs="宋体"/>
          <w:sz w:val="21"/>
          <w:szCs w:val="21"/>
        </w:rPr>
        <w:t>5、无法获取有效期内检察机关行贿犯罪档案查询结果告知函的，应在《参加采购活动前三年内在经营活动中没有重大违法记录书面声明》中对近三年无行贿犯罪记录进行声明。</w:t>
      </w:r>
    </w:p>
    <w:p>
      <w:pPr>
        <w:pStyle w:val="6"/>
        <w:keepNext w:val="0"/>
        <w:keepLines w:val="0"/>
        <w:widowControl/>
        <w:suppressLineNumbers w:val="0"/>
        <w:jc w:val="center"/>
      </w:pPr>
      <w:r>
        <w:rPr>
          <w:rFonts w:hint="eastAsia" w:ascii="宋体" w:hAnsi="宋体" w:eastAsia="宋体" w:cs="宋体"/>
          <w:sz w:val="21"/>
          <w:szCs w:val="21"/>
        </w:rPr>
        <w:br w:type="textWrapping"/>
      </w:r>
      <w:r>
        <w:rPr>
          <w:rStyle w:val="8"/>
          <w:rFonts w:hint="eastAsia" w:ascii="宋体" w:hAnsi="宋体" w:eastAsia="宋体" w:cs="宋体"/>
          <w:sz w:val="21"/>
          <w:szCs w:val="21"/>
        </w:rPr>
        <w:t>二-10联合体协议（若有）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6"/>
        <w:keepNext w:val="0"/>
        <w:keepLines w:val="0"/>
        <w:widowControl/>
        <w:suppressLineNumbers w:val="0"/>
        <w:ind w:left="0" w:firstLine="420"/>
      </w:pPr>
      <w:r>
        <w:rPr>
          <w:rFonts w:hint="eastAsia" w:ascii="宋体" w:hAnsi="宋体" w:eastAsia="宋体" w:cs="宋体"/>
          <w:sz w:val="21"/>
          <w:szCs w:val="21"/>
        </w:rPr>
        <w:t>一、联合体各方应承担的工作和义务具体如下：</w:t>
      </w:r>
    </w:p>
    <w:p>
      <w:pPr>
        <w:pStyle w:val="6"/>
        <w:keepNext w:val="0"/>
        <w:keepLines w:val="0"/>
        <w:widowControl/>
        <w:suppressLineNumbers w:val="0"/>
        <w:ind w:lef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6"/>
        <w:keepNext w:val="0"/>
        <w:keepLines w:val="0"/>
        <w:widowControl/>
        <w:suppressLineNumbers w:val="0"/>
        <w:ind w:left="0" w:firstLine="420"/>
      </w:pPr>
      <w:r>
        <w:rPr>
          <w:rFonts w:hint="eastAsia" w:ascii="宋体" w:hAnsi="宋体" w:eastAsia="宋体" w:cs="宋体"/>
          <w:sz w:val="21"/>
          <w:szCs w:val="21"/>
        </w:rPr>
        <w:t>2、成员方：</w:t>
      </w:r>
    </w:p>
    <w:p>
      <w:pPr>
        <w:pStyle w:val="6"/>
        <w:keepNext w:val="0"/>
        <w:keepLines w:val="0"/>
        <w:widowControl/>
        <w:suppressLineNumbers w:val="0"/>
        <w:ind w:lef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6"/>
        <w:keepNext w:val="0"/>
        <w:keepLines w:val="0"/>
        <w:widowControl/>
        <w:suppressLineNumbers w:val="0"/>
        <w:ind w:left="0" w:firstLine="420"/>
      </w:pPr>
      <w:r>
        <w:rPr>
          <w:rFonts w:hint="default" w:ascii="Calibri" w:hAnsi="Calibri" w:cs="Calibri"/>
          <w:sz w:val="21"/>
          <w:szCs w:val="21"/>
        </w:rPr>
        <w:t>……</w:t>
      </w:r>
      <w:r>
        <w:rPr>
          <w:rFonts w:hint="eastAsia" w:ascii="宋体" w:hAnsi="宋体" w:eastAsia="宋体" w:cs="宋体"/>
          <w:sz w:val="21"/>
          <w:szCs w:val="21"/>
        </w:rPr>
        <w:t>。</w:t>
      </w:r>
    </w:p>
    <w:p>
      <w:pPr>
        <w:pStyle w:val="6"/>
        <w:keepNext w:val="0"/>
        <w:keepLines w:val="0"/>
        <w:widowControl/>
        <w:suppressLineNumbers w:val="0"/>
        <w:ind w:left="0" w:firstLine="420"/>
      </w:pPr>
      <w:r>
        <w:rPr>
          <w:rFonts w:hint="eastAsia" w:ascii="宋体" w:hAnsi="宋体" w:eastAsia="宋体" w:cs="宋体"/>
          <w:sz w:val="21"/>
          <w:szCs w:val="21"/>
        </w:rPr>
        <w:t>二、联合体各方约定：</w:t>
      </w:r>
    </w:p>
    <w:p>
      <w:pPr>
        <w:pStyle w:val="6"/>
        <w:keepNext w:val="0"/>
        <w:keepLines w:val="0"/>
        <w:widowControl/>
        <w:suppressLineNumbers w:val="0"/>
        <w:ind w:lef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6"/>
        <w:keepNext w:val="0"/>
        <w:keepLines w:val="0"/>
        <w:widowControl/>
        <w:suppressLineNumbers w:val="0"/>
        <w:ind w:lef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6"/>
        <w:keepNext w:val="0"/>
        <w:keepLines w:val="0"/>
        <w:widowControl/>
        <w:suppressLineNumbers w:val="0"/>
        <w:ind w:left="0" w:firstLine="420"/>
      </w:pPr>
      <w:r>
        <w:rPr>
          <w:rFonts w:hint="eastAsia" w:ascii="宋体" w:hAnsi="宋体" w:eastAsia="宋体" w:cs="宋体"/>
          <w:sz w:val="21"/>
          <w:szCs w:val="21"/>
        </w:rPr>
        <w:t>3、联合体各方约定以</w:t>
      </w:r>
      <w:r>
        <w:rPr>
          <w:rFonts w:hint="eastAsia" w:ascii="宋体" w:hAnsi="宋体" w:eastAsia="宋体" w:cs="宋体"/>
          <w:sz w:val="21"/>
          <w:szCs w:val="21"/>
          <w:u w:val="single"/>
        </w:rPr>
        <w:t>（本项目采用综合评分法的，应填写“具体成员方的全称”；否则填写“无”）</w:t>
      </w:r>
      <w:r>
        <w:rPr>
          <w:rFonts w:hint="eastAsia" w:ascii="宋体" w:hAnsi="宋体" w:eastAsia="宋体" w:cs="宋体"/>
          <w:sz w:val="21"/>
          <w:szCs w:val="21"/>
        </w:rPr>
        <w:t>的条件参与商务部分的评标。</w:t>
      </w:r>
    </w:p>
    <w:p>
      <w:pPr>
        <w:pStyle w:val="6"/>
        <w:keepNext w:val="0"/>
        <w:keepLines w:val="0"/>
        <w:widowControl/>
        <w:suppressLineNumbers w:val="0"/>
        <w:ind w:left="0" w:firstLine="420"/>
      </w:pPr>
      <w:r>
        <w:rPr>
          <w:rFonts w:hint="eastAsia"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6"/>
        <w:keepNext w:val="0"/>
        <w:keepLines w:val="0"/>
        <w:widowControl/>
        <w:suppressLineNumbers w:val="0"/>
        <w:ind w:left="0" w:firstLine="420"/>
      </w:pPr>
      <w:r>
        <w:rPr>
          <w:rFonts w:hint="eastAsia" w:ascii="宋体" w:hAnsi="宋体" w:eastAsia="宋体" w:cs="宋体"/>
          <w:sz w:val="21"/>
          <w:szCs w:val="21"/>
        </w:rPr>
        <w:t>四、本协议自签署之日起生效，政府采购合同履行完毕后自动失效。</w:t>
      </w:r>
    </w:p>
    <w:p>
      <w:pPr>
        <w:pStyle w:val="6"/>
        <w:keepNext w:val="0"/>
        <w:keepLines w:val="0"/>
        <w:widowControl/>
        <w:suppressLineNumbers w:val="0"/>
        <w:ind w:left="0" w:firstLine="420"/>
      </w:pPr>
      <w:r>
        <w:rPr>
          <w:rFonts w:hint="eastAsia" w:ascii="宋体" w:hAnsi="宋体" w:eastAsia="宋体" w:cs="宋体"/>
          <w:sz w:val="21"/>
          <w:szCs w:val="21"/>
        </w:rPr>
        <w:t>五、本协议一式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6"/>
        <w:keepNext w:val="0"/>
        <w:keepLines w:val="0"/>
        <w:widowControl/>
        <w:suppressLineNumbers w:val="0"/>
        <w:jc w:val="center"/>
      </w:pPr>
      <w:r>
        <w:rPr>
          <w:rFonts w:hint="eastAsia" w:ascii="宋体" w:hAnsi="宋体" w:eastAsia="宋体" w:cs="宋体"/>
          <w:sz w:val="21"/>
          <w:szCs w:val="21"/>
        </w:rPr>
        <w:t>（以下无正文）</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6"/>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pP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6"/>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1、招标文件接受联合体投标且投标人为联合体的，投标人应提供本协议；否则无须提供。</w:t>
      </w:r>
    </w:p>
    <w:p>
      <w:pPr>
        <w:pStyle w:val="6"/>
        <w:keepNext w:val="0"/>
        <w:keepLines w:val="0"/>
        <w:widowControl/>
        <w:suppressLineNumbers w:val="0"/>
      </w:pPr>
      <w:r>
        <w:rPr>
          <w:rFonts w:hint="eastAsia" w:ascii="宋体" w:hAnsi="宋体" w:eastAsia="宋体" w:cs="宋体"/>
          <w:sz w:val="21"/>
          <w:szCs w:val="21"/>
        </w:rPr>
        <w:t>2、本协议由委托代理人签字或盖章的，应按照本章载明的格式提供“单位负责人授权书”。</w:t>
      </w:r>
    </w:p>
    <w:p>
      <w:pPr>
        <w:pStyle w:val="6"/>
        <w:keepNext w:val="0"/>
        <w:keepLines w:val="0"/>
        <w:widowControl/>
        <w:suppressLineNumbers w:val="0"/>
      </w:pPr>
      <w:r>
        <w:rPr>
          <w:rFonts w:hint="eastAsia" w:ascii="宋体" w:hAnsi="宋体" w:eastAsia="宋体" w:cs="宋体"/>
          <w:sz w:val="21"/>
          <w:szCs w:val="21"/>
        </w:rPr>
        <w:t>3、纸质投标文件正本中的本协议（若有）应为原件。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二-11中小企业声明函</w:t>
      </w:r>
    </w:p>
    <w:p>
      <w:pPr>
        <w:pStyle w:val="6"/>
        <w:keepNext w:val="0"/>
        <w:keepLines w:val="0"/>
        <w:widowControl/>
        <w:suppressLineNumbers w:val="0"/>
        <w:jc w:val="center"/>
      </w:pPr>
      <w:r>
        <w:rPr>
          <w:rStyle w:val="8"/>
          <w:rFonts w:hint="eastAsia" w:ascii="宋体" w:hAnsi="宋体" w:eastAsia="宋体" w:cs="宋体"/>
          <w:sz w:val="21"/>
          <w:szCs w:val="21"/>
        </w:rPr>
        <w:t>（专门面向中小企业或小型、微型企业适用，若有）</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pPr>
        <w:pStyle w:val="6"/>
        <w:keepNext w:val="0"/>
        <w:keepLines w:val="0"/>
        <w:widowControl/>
        <w:suppressLineNumbers w:val="0"/>
        <w:ind w:left="0"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pPr>
        <w:pStyle w:val="6"/>
        <w:keepNext w:val="0"/>
        <w:keepLines w:val="0"/>
        <w:widowControl/>
        <w:suppressLineNumbers w:val="0"/>
        <w:ind w:left="0"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（填写“项目名称”） </w:t>
      </w:r>
      <w:r>
        <w:rPr>
          <w:rFonts w:hint="eastAsia" w:ascii="宋体" w:hAnsi="宋体" w:eastAsia="宋体" w:cs="宋体"/>
          <w:sz w:val="21"/>
          <w:szCs w:val="21"/>
        </w:rPr>
        <w:t>项目采购活动，其中：</w:t>
      </w:r>
    </w:p>
    <w:p>
      <w:pPr>
        <w:pStyle w:val="6"/>
        <w:keepNext w:val="0"/>
        <w:keepLines w:val="0"/>
        <w:widowControl/>
        <w:suppressLineNumbers w:val="0"/>
        <w:ind w:left="0" w:firstLine="420"/>
      </w:pPr>
      <w:r>
        <w:rPr>
          <w:rFonts w:hint="eastAsia" w:ascii="宋体" w:hAnsi="宋体" w:eastAsia="宋体" w:cs="宋体"/>
          <w:sz w:val="21"/>
          <w:szCs w:val="21"/>
        </w:rPr>
        <w:t>①货物（不包括使用大型企业注册商标的货物）：</w:t>
      </w:r>
    </w:p>
    <w:p>
      <w:pPr>
        <w:pStyle w:val="6"/>
        <w:keepNext w:val="0"/>
        <w:keepLines w:val="0"/>
        <w:widowControl/>
        <w:suppressLineNumbers w:val="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pPr>
        <w:pStyle w:val="6"/>
        <w:keepNext w:val="0"/>
        <w:keepLines w:val="0"/>
        <w:widowControl/>
        <w:suppressLineNumbers w:val="0"/>
        <w:ind w:left="0"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6"/>
        <w:keepNext w:val="0"/>
        <w:keepLines w:val="0"/>
        <w:widowControl/>
        <w:suppressLineNumbers w:val="0"/>
        <w:ind w:left="0" w:firstLine="420"/>
      </w:pPr>
      <w:r>
        <w:rPr>
          <w:rFonts w:hint="eastAsia" w:ascii="宋体" w:hAnsi="宋体" w:eastAsia="宋体" w:cs="宋体"/>
          <w:sz w:val="21"/>
          <w:szCs w:val="21"/>
        </w:rPr>
        <w:t>②工程：</w:t>
      </w:r>
    </w:p>
    <w:p>
      <w:pPr>
        <w:pStyle w:val="6"/>
        <w:keepNext w:val="0"/>
        <w:keepLines w:val="0"/>
        <w:widowControl/>
        <w:suppressLineNumbers w:val="0"/>
        <w:ind w:lef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ind w:left="0" w:firstLine="420"/>
      </w:pPr>
      <w:r>
        <w:rPr>
          <w:rFonts w:hint="eastAsia" w:ascii="宋体" w:hAnsi="宋体" w:eastAsia="宋体" w:cs="宋体"/>
          <w:sz w:val="21"/>
          <w:szCs w:val="21"/>
        </w:rPr>
        <w:t>③服务：</w:t>
      </w:r>
    </w:p>
    <w:p>
      <w:pPr>
        <w:pStyle w:val="6"/>
        <w:keepNext w:val="0"/>
        <w:keepLines w:val="0"/>
        <w:widowControl/>
        <w:suppressLineNumbers w:val="0"/>
        <w:ind w:lef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6"/>
        <w:keepNext w:val="0"/>
        <w:keepLines w:val="0"/>
        <w:widowControl/>
        <w:suppressLineNumbers w:val="0"/>
        <w:ind w:lef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ind w:left="0" w:firstLine="42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pPr>
        <w:pStyle w:val="6"/>
        <w:keepNext w:val="0"/>
        <w:keepLines w:val="0"/>
        <w:widowControl/>
        <w:suppressLineNumbers w:val="0"/>
      </w:pPr>
      <w:r>
        <w:rPr>
          <w:rFonts w:hint="eastAsia" w:ascii="宋体" w:hAnsi="宋体" w:eastAsia="宋体" w:cs="宋体"/>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pPr>
      <w:r>
        <w:rPr>
          <w:rFonts w:hint="eastAsia" w:ascii="宋体" w:hAnsi="宋体" w:eastAsia="宋体" w:cs="宋体"/>
          <w:sz w:val="21"/>
          <w:szCs w:val="21"/>
        </w:rPr>
        <w:t>4、投标人为残疾人福利性单位的，可不填写本声明函，根据其提供的《残疾人福利性单位声明函》（格式附后）进行认定，残疾人福利性单位视同小型、微型企业。</w:t>
      </w:r>
    </w:p>
    <w:p>
      <w:pPr>
        <w:pStyle w:val="6"/>
        <w:keepNext w:val="0"/>
        <w:keepLines w:val="0"/>
        <w:widowControl/>
        <w:suppressLineNumbers w:val="0"/>
      </w:pPr>
      <w:r>
        <w:rPr>
          <w:rFonts w:hint="eastAsia" w:ascii="宋体" w:hAnsi="宋体" w:eastAsia="宋体" w:cs="宋体"/>
          <w:sz w:val="21"/>
          <w:szCs w:val="21"/>
        </w:rPr>
        <w:t>5、纸质投标文件正本中的本声明函（若有）应为原件。</w:t>
      </w:r>
    </w:p>
    <w:p>
      <w:pPr>
        <w:pStyle w:val="6"/>
        <w:keepNext w:val="0"/>
        <w:keepLines w:val="0"/>
        <w:widowControl/>
        <w:suppressLineNumbers w:val="0"/>
      </w:pPr>
      <w:r>
        <w:rPr>
          <w:rFonts w:hint="eastAsia" w:ascii="宋体" w:hAnsi="宋体" w:eastAsia="宋体" w:cs="宋体"/>
          <w:sz w:val="21"/>
          <w:szCs w:val="21"/>
        </w:rPr>
        <w:t>6、若《中小企业声明函》（包括本格式第</w:t>
      </w:r>
      <w:r>
        <w:rPr>
          <w:rFonts w:hint="default" w:ascii="Calibri" w:hAnsi="Calibri" w:eastAsia="宋体" w:cs="Calibri"/>
          <w:sz w:val="21"/>
          <w:szCs w:val="21"/>
        </w:rPr>
        <w:t>3</w:t>
      </w:r>
      <w:r>
        <w:rPr>
          <w:rFonts w:hint="eastAsia" w:ascii="宋体" w:hAnsi="宋体" w:eastAsia="宋体" w:cs="宋体"/>
          <w:sz w:val="21"/>
          <w:szCs w:val="21"/>
        </w:rPr>
        <w:t>、</w:t>
      </w:r>
      <w:r>
        <w:rPr>
          <w:rFonts w:hint="default" w:ascii="Calibri" w:hAnsi="Calibri" w:eastAsia="宋体" w:cs="Calibri"/>
          <w:sz w:val="21"/>
          <w:szCs w:val="21"/>
        </w:rPr>
        <w:t>4</w:t>
      </w:r>
      <w:r>
        <w:rPr>
          <w:rFonts w:hint="eastAsia" w:ascii="宋体" w:hAnsi="宋体" w:eastAsia="宋体" w:cs="宋体"/>
          <w:sz w:val="21"/>
          <w:szCs w:val="21"/>
        </w:rPr>
        <w:t>条规定的证明文件及声明函）内容不真实，</w:t>
      </w:r>
      <w:r>
        <w:rPr>
          <w:rStyle w:val="8"/>
          <w:rFonts w:hint="eastAsia" w:ascii="宋体" w:hAnsi="宋体" w:eastAsia="宋体" w:cs="宋体"/>
          <w:sz w:val="21"/>
          <w:szCs w:val="21"/>
        </w:rPr>
        <w:t>视为提供虚假材料。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default" w:ascii="Calibri" w:hAnsi="Calibri" w:cs="Calibri"/>
          <w:sz w:val="21"/>
          <w:szCs w:val="21"/>
        </w:rPr>
        <w:br w:type="textWrapping"/>
      </w:r>
      <w:r>
        <w:rPr>
          <w:rFonts w:hint="eastAsia" w:ascii="宋体" w:hAnsi="宋体" w:eastAsia="宋体" w:cs="宋体"/>
          <w:sz w:val="21"/>
          <w:szCs w:val="21"/>
        </w:rPr>
        <w:t>附：</w:t>
      </w:r>
    </w:p>
    <w:p>
      <w:pPr>
        <w:pStyle w:val="6"/>
        <w:keepNext w:val="0"/>
        <w:keepLines w:val="0"/>
        <w:widowControl/>
        <w:suppressLineNumbers w:val="0"/>
        <w:jc w:val="center"/>
      </w:pPr>
      <w:r>
        <w:rPr>
          <w:rStyle w:val="8"/>
          <w:rFonts w:hint="eastAsia" w:ascii="宋体" w:hAnsi="宋体" w:eastAsia="宋体" w:cs="宋体"/>
          <w:sz w:val="21"/>
          <w:szCs w:val="21"/>
        </w:rPr>
        <w:t>残疾人福利性单位声明函</w:t>
      </w:r>
    </w:p>
    <w:p>
      <w:pPr>
        <w:pStyle w:val="6"/>
        <w:keepNext w:val="0"/>
        <w:keepLines w:val="0"/>
        <w:widowControl/>
        <w:suppressLineNumbers w:val="0"/>
        <w:jc w:val="center"/>
      </w:pPr>
      <w:r>
        <w:rPr>
          <w:rStyle w:val="8"/>
          <w:rFonts w:hint="eastAsia" w:ascii="宋体" w:hAnsi="宋体" w:eastAsia="宋体" w:cs="宋体"/>
          <w:sz w:val="21"/>
          <w:szCs w:val="21"/>
        </w:rPr>
        <w:t>（专门面向中小企业或小型、微型企业适用，若有）</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6"/>
        <w:keepNext w:val="0"/>
        <w:keepLines w:val="0"/>
        <w:widowControl/>
        <w:suppressLineNumbers w:val="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6"/>
        <w:keepNext w:val="0"/>
        <w:keepLines w:val="0"/>
        <w:widowControl/>
        <w:suppressLineNumbers w:val="0"/>
        <w:ind w:lef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ind w:lef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pPr>
        <w:pStyle w:val="6"/>
        <w:keepNext w:val="0"/>
        <w:keepLines w:val="0"/>
        <w:widowControl/>
        <w:suppressLineNumbers w:val="0"/>
        <w:ind w:left="0"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pPr>
        <w:pStyle w:val="6"/>
        <w:keepNext w:val="0"/>
        <w:keepLines w:val="0"/>
        <w:widowControl/>
        <w:suppressLineNumbers w:val="0"/>
        <w:ind w:lef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ind w:left="0" w:firstLine="42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pPr>
      <w:r>
        <w:rPr>
          <w:rFonts w:hint="eastAsia" w:ascii="宋体" w:hAnsi="宋体" w:eastAsia="宋体" w:cs="宋体"/>
          <w:sz w:val="21"/>
          <w:szCs w:val="21"/>
        </w:rPr>
        <w:t>2、纸质投标文件正本中的本声明函（若有）应为原件。</w:t>
      </w:r>
    </w:p>
    <w:p>
      <w:pPr>
        <w:pStyle w:val="6"/>
        <w:keepNext w:val="0"/>
        <w:keepLines w:val="0"/>
        <w:widowControl/>
        <w:suppressLineNumbers w:val="0"/>
      </w:pPr>
      <w:r>
        <w:rPr>
          <w:rFonts w:hint="eastAsia" w:ascii="宋体" w:hAnsi="宋体" w:eastAsia="宋体" w:cs="宋体"/>
          <w:sz w:val="21"/>
          <w:szCs w:val="21"/>
        </w:rPr>
        <w:t>3、若《残疾人福利性单位声明函》内容不真实，</w:t>
      </w:r>
      <w:r>
        <w:rPr>
          <w:rStyle w:val="8"/>
          <w:rFonts w:hint="eastAsia" w:ascii="宋体" w:hAnsi="宋体" w:eastAsia="宋体" w:cs="宋体"/>
          <w:sz w:val="21"/>
          <w:szCs w:val="21"/>
        </w:rPr>
        <w:t>视为提供虚假材料。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br w:type="textWrapping"/>
      </w:r>
      <w:r>
        <w:rPr>
          <w:rStyle w:val="8"/>
          <w:rFonts w:hint="eastAsia" w:ascii="宋体" w:hAnsi="宋体" w:eastAsia="宋体" w:cs="宋体"/>
          <w:sz w:val="21"/>
          <w:szCs w:val="21"/>
        </w:rPr>
        <w:t>二-12其他资格证明文件（若有）</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二</w:t>
      </w:r>
      <w:r>
        <w:rPr>
          <w:rStyle w:val="8"/>
          <w:rFonts w:hint="eastAsia" w:ascii="宋体" w:hAnsi="宋体" w:eastAsia="宋体" w:cs="宋体"/>
          <w:sz w:val="21"/>
          <w:szCs w:val="21"/>
        </w:rPr>
        <w:t>-12-①具备履行合同所必需设备和专业技术能力专项证明材料（若有）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6"/>
        <w:keepNext w:val="0"/>
        <w:keepLines w:val="0"/>
        <w:widowControl/>
        <w:suppressLineNumbers w:val="0"/>
      </w:pPr>
      <w:r>
        <w:rPr>
          <w:rFonts w:hint="eastAsia" w:ascii="宋体" w:hAnsi="宋体" w:eastAsia="宋体" w:cs="宋体"/>
          <w:sz w:val="21"/>
          <w:szCs w:val="21"/>
        </w:rPr>
        <w:t>2、投标人提供的相应证明材料复印件均应符合：内容完整、清晰、整洁，并由投标人加盖其单位公章。</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二-12-②招标文件规定的其他资格证明文件（若有）</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8"/>
          <w:rFonts w:hint="eastAsia" w:ascii="宋体" w:hAnsi="宋体" w:eastAsia="宋体" w:cs="宋体"/>
          <w:sz w:val="21"/>
          <w:szCs w:val="21"/>
        </w:rPr>
        <w:t>、投标保证金</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1、在此项下提交的</w:t>
      </w:r>
      <w:r>
        <w:rPr>
          <w:rStyle w:val="8"/>
          <w:rFonts w:hint="eastAsia" w:ascii="宋体" w:hAnsi="宋体" w:eastAsia="宋体" w:cs="宋体"/>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6"/>
        <w:keepNext w:val="0"/>
        <w:keepLines w:val="0"/>
        <w:widowControl/>
        <w:suppressLineNumbers w:val="0"/>
      </w:pPr>
      <w:r>
        <w:rPr>
          <w:rFonts w:hint="eastAsia" w:ascii="宋体" w:hAnsi="宋体" w:eastAsia="宋体" w:cs="宋体"/>
          <w:sz w:val="21"/>
          <w:szCs w:val="21"/>
        </w:rPr>
        <w:t>2、投标保证金是否已提交的认定按照招标文件第三章规定执行。</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8"/>
          <w:szCs w:val="28"/>
        </w:rPr>
        <w:t>封面格式</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48"/>
          <w:szCs w:val="48"/>
        </w:rPr>
        <w:t>福建省政府采购投标文件</w:t>
      </w:r>
    </w:p>
    <w:p>
      <w:pPr>
        <w:pStyle w:val="6"/>
        <w:keepNext w:val="0"/>
        <w:keepLines w:val="0"/>
        <w:widowControl/>
        <w:suppressLineNumbers w:val="0"/>
        <w:jc w:val="center"/>
      </w:pPr>
      <w:r>
        <w:rPr>
          <w:rStyle w:val="8"/>
          <w:rFonts w:hint="eastAsia" w:ascii="宋体" w:hAnsi="宋体" w:eastAsia="宋体" w:cs="宋体"/>
          <w:sz w:val="48"/>
          <w:szCs w:val="48"/>
        </w:rPr>
        <w:t>（报价部分）</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36"/>
          <w:szCs w:val="36"/>
          <w:u w:val="single"/>
        </w:rPr>
        <w:t>（填写正本或副本）</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ind w:left="0" w:firstLine="1920"/>
      </w:pPr>
      <w:r>
        <w:rPr>
          <w:rStyle w:val="8"/>
          <w:rFonts w:hint="eastAsia" w:ascii="宋体" w:hAnsi="宋体" w:eastAsia="宋体" w:cs="宋体"/>
          <w:sz w:val="31"/>
          <w:szCs w:val="31"/>
        </w:rPr>
        <w:t>项目名称：</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备案编号：</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招标编号：</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所投合同包：</w:t>
      </w:r>
      <w:r>
        <w:rPr>
          <w:rStyle w:val="8"/>
          <w:rFonts w:hint="eastAsia" w:ascii="宋体" w:hAnsi="宋体" w:eastAsia="宋体" w:cs="宋体"/>
          <w:sz w:val="31"/>
          <w:szCs w:val="31"/>
          <w:u w:val="single"/>
        </w:rPr>
        <w:t>（由投标人填写）</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31"/>
          <w:szCs w:val="31"/>
        </w:rPr>
        <w:t>投标人：</w:t>
      </w:r>
      <w:r>
        <w:rPr>
          <w:rStyle w:val="8"/>
          <w:rFonts w:hint="eastAsia" w:ascii="宋体" w:hAnsi="宋体" w:eastAsia="宋体" w:cs="宋体"/>
          <w:sz w:val="31"/>
          <w:szCs w:val="31"/>
          <w:u w:val="single"/>
        </w:rPr>
        <w:t>（填写“全称”）</w:t>
      </w:r>
    </w:p>
    <w:p>
      <w:pPr>
        <w:pStyle w:val="6"/>
        <w:keepNext w:val="0"/>
        <w:keepLines w:val="0"/>
        <w:widowControl/>
        <w:suppressLineNumbers w:val="0"/>
        <w:jc w:val="center"/>
      </w:pPr>
      <w:r>
        <w:rPr>
          <w:rStyle w:val="8"/>
          <w:rFonts w:hint="eastAsia" w:ascii="宋体" w:hAnsi="宋体" w:eastAsia="宋体" w:cs="宋体"/>
          <w:sz w:val="31"/>
          <w:szCs w:val="31"/>
          <w:u w:val="single"/>
        </w:rPr>
        <w:t>（由投标人填写）</w:t>
      </w:r>
      <w:r>
        <w:rPr>
          <w:rStyle w:val="8"/>
          <w:rFonts w:hint="eastAsia" w:ascii="宋体" w:hAnsi="宋体" w:eastAsia="宋体" w:cs="宋体"/>
          <w:sz w:val="31"/>
          <w:szCs w:val="31"/>
        </w:rPr>
        <w:t>年</w:t>
      </w:r>
      <w:r>
        <w:rPr>
          <w:rStyle w:val="8"/>
          <w:rFonts w:hint="eastAsia" w:ascii="宋体" w:hAnsi="宋体" w:eastAsia="宋体" w:cs="宋体"/>
          <w:sz w:val="31"/>
          <w:szCs w:val="31"/>
          <w:u w:val="single"/>
        </w:rPr>
        <w:t>（由投标人填写）</w:t>
      </w:r>
      <w:r>
        <w:rPr>
          <w:rStyle w:val="8"/>
          <w:rFonts w:hint="eastAsia" w:ascii="宋体" w:hAnsi="宋体" w:eastAsia="宋体" w:cs="宋体"/>
          <w:sz w:val="31"/>
          <w:szCs w:val="31"/>
        </w:rPr>
        <w:t>月</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8"/>
          <w:szCs w:val="28"/>
        </w:rPr>
        <w:t>索引</w:t>
      </w:r>
    </w:p>
    <w:p>
      <w:pPr>
        <w:pStyle w:val="6"/>
        <w:keepNext w:val="0"/>
        <w:keepLines w:val="0"/>
        <w:widowControl/>
        <w:suppressLineNumbers w:val="0"/>
      </w:pPr>
      <w:r>
        <w:rPr>
          <w:rFonts w:hint="eastAsia" w:ascii="宋体" w:hAnsi="宋体" w:eastAsia="宋体" w:cs="宋体"/>
          <w:sz w:val="28"/>
          <w:szCs w:val="28"/>
        </w:rPr>
        <w:t>一、开标一览表</w:t>
      </w:r>
    </w:p>
    <w:p>
      <w:pPr>
        <w:pStyle w:val="6"/>
        <w:keepNext w:val="0"/>
        <w:keepLines w:val="0"/>
        <w:widowControl/>
        <w:suppressLineNumbers w:val="0"/>
      </w:pPr>
      <w:r>
        <w:rPr>
          <w:rFonts w:hint="eastAsia" w:ascii="宋体" w:hAnsi="宋体" w:eastAsia="宋体" w:cs="宋体"/>
          <w:sz w:val="28"/>
          <w:szCs w:val="28"/>
        </w:rPr>
        <w:t>二、投标分项报价表</w:t>
      </w:r>
    </w:p>
    <w:p>
      <w:pPr>
        <w:pStyle w:val="6"/>
        <w:keepNext w:val="0"/>
        <w:keepLines w:val="0"/>
        <w:widowControl/>
        <w:suppressLineNumbers w:val="0"/>
      </w:pPr>
      <w:r>
        <w:rPr>
          <w:rFonts w:hint="eastAsia" w:ascii="宋体" w:hAnsi="宋体" w:eastAsia="宋体" w:cs="宋体"/>
          <w:sz w:val="28"/>
          <w:szCs w:val="28"/>
        </w:rPr>
        <w:t>三、招标文件规定的价格扣除证明材料（若有）</w:t>
      </w:r>
    </w:p>
    <w:p>
      <w:pPr>
        <w:pStyle w:val="6"/>
        <w:keepNext w:val="0"/>
        <w:keepLines w:val="0"/>
        <w:widowControl/>
        <w:suppressLineNumbers w:val="0"/>
      </w:pPr>
      <w:r>
        <w:rPr>
          <w:rFonts w:hint="eastAsia" w:ascii="宋体" w:hAnsi="宋体" w:eastAsia="宋体" w:cs="宋体"/>
          <w:sz w:val="28"/>
          <w:szCs w:val="28"/>
        </w:rPr>
        <w:t>四、招标文件规定的加分证明材料（若有）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一、开标一览表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031"/>
        <w:gridCol w:w="5702"/>
        <w:gridCol w:w="705"/>
        <w:gridCol w:w="10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86"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567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投标报价</w:t>
            </w:r>
          </w:p>
        </w:tc>
        <w:tc>
          <w:tcPr>
            <w:tcW w:w="67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w:t>
            </w:r>
          </w:p>
          <w:p>
            <w:pPr>
              <w:pStyle w:val="6"/>
              <w:keepNext w:val="0"/>
              <w:keepLines w:val="0"/>
              <w:widowControl/>
              <w:suppressLineNumbers w:val="0"/>
              <w:jc w:val="center"/>
            </w:pPr>
            <w:r>
              <w:rPr>
                <w:rFonts w:hint="eastAsia" w:ascii="宋体" w:hAnsi="宋体" w:eastAsia="宋体" w:cs="宋体"/>
                <w:sz w:val="21"/>
                <w:szCs w:val="21"/>
                <w:bdr w:val="none" w:color="auto" w:sz="0" w:space="0"/>
              </w:rPr>
              <w:t>保证金</w:t>
            </w:r>
          </w:p>
        </w:tc>
        <w:tc>
          <w:tcPr>
            <w:tcW w:w="103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00" w:hRule="atLeast"/>
          <w:tblCellSpacing w:w="15" w:type="dxa"/>
        </w:trPr>
        <w:tc>
          <w:tcPr>
            <w:tcW w:w="986"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567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1"/>
                <w:szCs w:val="21"/>
                <w:bdr w:val="none" w:color="auto" w:sz="0" w:space="0"/>
              </w:rPr>
              <w:t>投标总价（大写金额）：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c>
          <w:tcPr>
            <w:tcW w:w="6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37"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1"/>
                <w:szCs w:val="21"/>
                <w:bdr w:val="none" w:color="auto" w:sz="0" w:space="0"/>
              </w:rPr>
              <w:t>a.投标报价的明细：详见《投标分项报价表》。</w:t>
            </w:r>
          </w:p>
          <w:p>
            <w:pPr>
              <w:pStyle w:val="6"/>
              <w:keepNext w:val="0"/>
              <w:keepLines w:val="0"/>
              <w:widowControl/>
              <w:suppressLineNumbers w:val="0"/>
            </w:pPr>
            <w:r>
              <w:rPr>
                <w:rFonts w:hint="eastAsia" w:ascii="宋体" w:hAnsi="宋体" w:eastAsia="宋体" w:cs="宋体"/>
                <w:sz w:val="21"/>
                <w:szCs w:val="21"/>
                <w:bdr w:val="none" w:color="auto" w:sz="0" w:space="0"/>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86"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567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1"/>
                <w:szCs w:val="21"/>
                <w:bdr w:val="none" w:color="auto" w:sz="0" w:space="0"/>
              </w:rPr>
              <w:t>投标总价（大写金额）：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c>
          <w:tcPr>
            <w:tcW w:w="6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37"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1.1投标人应按照本表格式填写所投的合同包的“投标报价”。</w:t>
      </w:r>
    </w:p>
    <w:p>
      <w:pPr>
        <w:pStyle w:val="6"/>
        <w:keepNext w:val="0"/>
        <w:keepLines w:val="0"/>
        <w:widowControl/>
        <w:suppressLineNumbers w:val="0"/>
      </w:pPr>
      <w:r>
        <w:rPr>
          <w:rFonts w:hint="eastAsia" w:ascii="宋体" w:hAnsi="宋体" w:eastAsia="宋体" w:cs="宋体"/>
          <w:sz w:val="21"/>
          <w:szCs w:val="21"/>
        </w:rPr>
        <w:t>1.2本表中列示的“合同包”应与《投标分项报价表》中列示的“合同包”保持一致，即：若本表中列示的“合同包”为“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pPr>
      <w:r>
        <w:rPr>
          <w:rFonts w:hint="eastAsia" w:ascii="宋体" w:hAnsi="宋体" w:eastAsia="宋体" w:cs="宋体"/>
          <w:sz w:val="21"/>
          <w:szCs w:val="21"/>
        </w:rPr>
        <w:t>1.3“大写金额”指“投标报价”应用“壹、贰、叁、肆、伍、陆、柒、捌、玖、拾、佰、仟、万、亿、元、角、分、零”等进行填写。</w:t>
      </w:r>
    </w:p>
    <w:p>
      <w:pPr>
        <w:pStyle w:val="6"/>
        <w:keepNext w:val="0"/>
        <w:keepLines w:val="0"/>
        <w:widowControl/>
        <w:suppressLineNumbers w:val="0"/>
      </w:pPr>
      <w:r>
        <w:rPr>
          <w:rFonts w:hint="eastAsia" w:ascii="宋体" w:hAnsi="宋体" w:eastAsia="宋体" w:cs="宋体"/>
          <w:sz w:val="21"/>
          <w:szCs w:val="21"/>
        </w:rPr>
        <w:t>2、纸质投标文件正本中的本表应为原件。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default" w:ascii="Calibri" w:hAnsi="Calibri" w:cs="Calibri"/>
          <w:sz w:val="21"/>
          <w:szCs w:val="21"/>
        </w:rPr>
        <w:br w:type="textWrapping"/>
      </w:r>
      <w:r>
        <w:rPr>
          <w:rStyle w:val="8"/>
          <w:rFonts w:hint="eastAsia" w:ascii="宋体" w:hAnsi="宋体" w:eastAsia="宋体" w:cs="宋体"/>
          <w:sz w:val="21"/>
          <w:szCs w:val="21"/>
        </w:rPr>
        <w:t>二、投标分项报价表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67"/>
        <w:gridCol w:w="953"/>
        <w:gridCol w:w="1522"/>
        <w:gridCol w:w="1252"/>
        <w:gridCol w:w="853"/>
        <w:gridCol w:w="984"/>
        <w:gridCol w:w="584"/>
        <w:gridCol w:w="1082"/>
        <w:gridCol w:w="8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blCellSpacing w:w="15" w:type="dxa"/>
        </w:trPr>
        <w:tc>
          <w:tcPr>
            <w:tcW w:w="42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923"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49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投标标的</w:t>
            </w:r>
          </w:p>
        </w:tc>
        <w:tc>
          <w:tcPr>
            <w:tcW w:w="122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规格</w:t>
            </w:r>
          </w:p>
        </w:tc>
        <w:tc>
          <w:tcPr>
            <w:tcW w:w="823"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来源地</w:t>
            </w:r>
          </w:p>
        </w:tc>
        <w:tc>
          <w:tcPr>
            <w:tcW w:w="95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55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05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778"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15" w:type="dxa"/>
        </w:trPr>
        <w:tc>
          <w:tcPr>
            <w:tcW w:w="422"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923"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149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2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2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5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5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5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77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15" w:type="dxa"/>
        </w:trPr>
        <w:tc>
          <w:tcPr>
            <w:tcW w:w="42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923"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9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2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2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5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5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5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77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15" w:type="dxa"/>
        </w:trPr>
        <w:tc>
          <w:tcPr>
            <w:tcW w:w="422"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923"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9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2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2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5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5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5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77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sz w:val="21"/>
          <w:szCs w:val="21"/>
        </w:rPr>
        <w:t>1</w:t>
      </w:r>
      <w:r>
        <w:rPr>
          <w:rFonts w:hint="eastAsia" w:ascii="宋体" w:hAnsi="宋体" w:eastAsia="宋体" w:cs="宋体"/>
          <w:sz w:val="21"/>
          <w:szCs w:val="21"/>
        </w:rPr>
        <w:t>”时，本表中列示的“合同包”亦应为“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pPr>
      <w:r>
        <w:rPr>
          <w:rFonts w:hint="eastAsia" w:ascii="宋体" w:hAnsi="宋体" w:eastAsia="宋体" w:cs="宋体"/>
          <w:sz w:val="21"/>
          <w:szCs w:val="21"/>
        </w:rPr>
        <w:t>1.2“投标标的”为货物的：</w:t>
      </w:r>
      <w:r>
        <w:rPr>
          <w:rStyle w:val="8"/>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sz w:val="21"/>
          <w:szCs w:val="21"/>
        </w:rPr>
        <w:t>“来源地”</w:t>
      </w:r>
      <w:r>
        <w:rPr>
          <w:rFonts w:hint="eastAsia" w:ascii="宋体" w:hAnsi="宋体" w:eastAsia="宋体" w:cs="宋体"/>
          <w:sz w:val="21"/>
          <w:szCs w:val="21"/>
        </w:rPr>
        <w:t>应填写货物的原产地。</w:t>
      </w:r>
    </w:p>
    <w:p>
      <w:pPr>
        <w:pStyle w:val="6"/>
        <w:keepNext w:val="0"/>
        <w:keepLines w:val="0"/>
        <w:widowControl/>
        <w:suppressLineNumbers w:val="0"/>
      </w:pPr>
      <w:r>
        <w:rPr>
          <w:rFonts w:hint="eastAsia" w:ascii="宋体" w:hAnsi="宋体" w:eastAsia="宋体" w:cs="宋体"/>
          <w:sz w:val="21"/>
          <w:szCs w:val="21"/>
        </w:rPr>
        <w:t>1.3“投标标的”为服务的：</w:t>
      </w:r>
      <w:r>
        <w:rPr>
          <w:rStyle w:val="8"/>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8"/>
          <w:rFonts w:hint="eastAsia" w:ascii="宋体" w:hAnsi="宋体" w:eastAsia="宋体" w:cs="宋体"/>
          <w:sz w:val="21"/>
          <w:szCs w:val="21"/>
        </w:rPr>
        <w:t>“来源地”</w:t>
      </w:r>
      <w:r>
        <w:rPr>
          <w:rFonts w:hint="eastAsia" w:ascii="宋体" w:hAnsi="宋体" w:eastAsia="宋体" w:cs="宋体"/>
          <w:sz w:val="21"/>
          <w:szCs w:val="21"/>
        </w:rPr>
        <w:t>应填写服务提供者的所在地。</w:t>
      </w:r>
    </w:p>
    <w:p>
      <w:pPr>
        <w:pStyle w:val="6"/>
        <w:keepNext w:val="0"/>
        <w:keepLines w:val="0"/>
        <w:widowControl/>
        <w:suppressLineNumbers w:val="0"/>
      </w:pPr>
      <w:r>
        <w:rPr>
          <w:rFonts w:hint="eastAsia" w:ascii="宋体" w:hAnsi="宋体" w:eastAsia="宋体" w:cs="宋体"/>
          <w:sz w:val="21"/>
          <w:szCs w:val="21"/>
        </w:rPr>
        <w:t>1.4同一合同包中，</w:t>
      </w:r>
      <w:r>
        <w:rPr>
          <w:rStyle w:val="8"/>
          <w:rFonts w:hint="eastAsia" w:ascii="宋体" w:hAnsi="宋体" w:eastAsia="宋体" w:cs="宋体"/>
          <w:sz w:val="21"/>
          <w:szCs w:val="21"/>
        </w:rPr>
        <w:t>“单价（现场）”</w:t>
      </w:r>
      <w:r>
        <w:rPr>
          <w:rFonts w:hint="eastAsia" w:ascii="宋体" w:hAnsi="宋体" w:eastAsia="宋体" w:cs="宋体"/>
          <w:sz w:val="21"/>
          <w:szCs w:val="21"/>
        </w:rPr>
        <w:t>×</w:t>
      </w:r>
      <w:r>
        <w:rPr>
          <w:rStyle w:val="8"/>
          <w:rFonts w:hint="eastAsia" w:ascii="宋体" w:hAnsi="宋体" w:eastAsia="宋体" w:cs="宋体"/>
          <w:sz w:val="21"/>
          <w:szCs w:val="21"/>
        </w:rPr>
        <w:t>“数量”</w:t>
      </w:r>
      <w:r>
        <w:rPr>
          <w:rFonts w:hint="eastAsia" w:ascii="宋体" w:hAnsi="宋体" w:eastAsia="宋体" w:cs="宋体"/>
          <w:sz w:val="21"/>
          <w:szCs w:val="21"/>
        </w:rPr>
        <w:t>=</w:t>
      </w:r>
      <w:r>
        <w:rPr>
          <w:rStyle w:val="8"/>
          <w:rFonts w:hint="eastAsia" w:ascii="宋体" w:hAnsi="宋体" w:eastAsia="宋体" w:cs="宋体"/>
          <w:sz w:val="21"/>
          <w:szCs w:val="21"/>
        </w:rPr>
        <w:t>“总价（现场）”</w:t>
      </w:r>
      <w:r>
        <w:rPr>
          <w:rFonts w:hint="eastAsia" w:ascii="宋体" w:hAnsi="宋体" w:eastAsia="宋体" w:cs="宋体"/>
          <w:sz w:val="21"/>
          <w:szCs w:val="21"/>
        </w:rPr>
        <w:t>，全部品目号</w:t>
      </w:r>
      <w:r>
        <w:rPr>
          <w:rStyle w:val="8"/>
          <w:rFonts w:hint="eastAsia" w:ascii="宋体" w:hAnsi="宋体" w:eastAsia="宋体" w:cs="宋体"/>
          <w:sz w:val="21"/>
          <w:szCs w:val="21"/>
        </w:rPr>
        <w:t>“总价（现场）”</w:t>
      </w:r>
      <w:r>
        <w:rPr>
          <w:rFonts w:hint="eastAsia" w:ascii="宋体" w:hAnsi="宋体" w:eastAsia="宋体" w:cs="宋体"/>
          <w:sz w:val="21"/>
          <w:szCs w:val="21"/>
        </w:rPr>
        <w:t>的合计金额应与《开标一览表》中相应合同包列示的</w:t>
      </w:r>
      <w:r>
        <w:rPr>
          <w:rStyle w:val="8"/>
          <w:rFonts w:hint="eastAsia" w:ascii="宋体" w:hAnsi="宋体" w:eastAsia="宋体" w:cs="宋体"/>
          <w:sz w:val="21"/>
          <w:szCs w:val="21"/>
        </w:rPr>
        <w:t>“投标总价”</w:t>
      </w:r>
      <w:r>
        <w:rPr>
          <w:rFonts w:hint="eastAsia" w:ascii="宋体" w:hAnsi="宋体" w:eastAsia="宋体" w:cs="宋体"/>
          <w:sz w:val="21"/>
          <w:szCs w:val="21"/>
        </w:rPr>
        <w:t>保持一致。</w:t>
      </w:r>
    </w:p>
    <w:p>
      <w:pPr>
        <w:pStyle w:val="6"/>
        <w:keepNext w:val="0"/>
        <w:keepLines w:val="0"/>
        <w:widowControl/>
        <w:suppressLineNumbers w:val="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8"/>
          <w:rFonts w:hint="eastAsia" w:ascii="宋体" w:hAnsi="宋体" w:eastAsia="宋体" w:cs="宋体"/>
          <w:sz w:val="21"/>
          <w:szCs w:val="21"/>
        </w:rPr>
        <w:t>“备注”</w:t>
      </w:r>
      <w:r>
        <w:rPr>
          <w:rFonts w:hint="eastAsia" w:ascii="宋体" w:hAnsi="宋体" w:eastAsia="宋体" w:cs="宋体"/>
          <w:sz w:val="21"/>
          <w:szCs w:val="21"/>
        </w:rPr>
        <w:t>项下填写。</w:t>
      </w:r>
    </w:p>
    <w:p>
      <w:pPr>
        <w:pStyle w:val="6"/>
        <w:keepNext w:val="0"/>
        <w:keepLines w:val="0"/>
        <w:widowControl/>
        <w:suppressLineNumbers w:val="0"/>
      </w:pPr>
      <w:r>
        <w:rPr>
          <w:rFonts w:hint="eastAsia" w:ascii="宋体" w:hAnsi="宋体" w:eastAsia="宋体" w:cs="宋体"/>
          <w:sz w:val="21"/>
          <w:szCs w:val="21"/>
        </w:rPr>
        <w:t>2、纸质投标文件正本中的本表应为原件。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三、招标文件规定的价格扣除证明材料（若有）</w:t>
      </w:r>
    </w:p>
    <w:p>
      <w:pPr>
        <w:pStyle w:val="6"/>
        <w:keepNext w:val="0"/>
        <w:keepLines w:val="0"/>
        <w:widowControl/>
        <w:suppressLineNumbers w:val="0"/>
        <w:jc w:val="center"/>
      </w:pPr>
      <w:r>
        <w:rPr>
          <w:rStyle w:val="8"/>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1"/>
          <w:szCs w:val="21"/>
        </w:rPr>
        <w:t>三-1优先类节能产品、环境标志产品价格扣除证明材料（若有）</w:t>
      </w:r>
    </w:p>
    <w:p>
      <w:pPr>
        <w:pStyle w:val="6"/>
        <w:keepNext w:val="0"/>
        <w:keepLines w:val="0"/>
        <w:widowControl/>
        <w:suppressLineNumbers w:val="0"/>
        <w:jc w:val="center"/>
      </w:pPr>
      <w:r>
        <w:rPr>
          <w:rStyle w:val="8"/>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1"/>
          <w:szCs w:val="21"/>
        </w:rPr>
        <w:t>三-1-①优先类节能产品、环境标志产品统计表（价格扣除适用，若有）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W w:w="851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216"/>
        <w:gridCol w:w="1214"/>
        <w:gridCol w:w="1214"/>
        <w:gridCol w:w="1214"/>
        <w:gridCol w:w="1214"/>
        <w:gridCol w:w="1214"/>
        <w:gridCol w:w="12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7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254" w:type="dxa"/>
            <w:gridSpan w:val="6"/>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1"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货物名称</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1"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1"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1"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254" w:type="dxa"/>
            <w:gridSpan w:val="6"/>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pPr>
            <w:r>
              <w:rPr>
                <w:rFonts w:hint="eastAsia" w:ascii="宋体" w:hAnsi="宋体" w:eastAsia="宋体" w:cs="宋体"/>
                <w:sz w:val="21"/>
                <w:szCs w:val="21"/>
                <w:bdr w:val="none" w:color="auto" w:sz="0" w:space="0"/>
              </w:rPr>
              <w:t>a.合同包内属于节能、环境标志产品的报价总金额：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6"/>
              <w:keepNext w:val="0"/>
              <w:keepLines w:val="0"/>
              <w:widowControl/>
              <w:suppressLineNumbers w:val="0"/>
            </w:pPr>
            <w:r>
              <w:rPr>
                <w:rFonts w:hint="eastAsia" w:ascii="宋体" w:hAnsi="宋体" w:eastAsia="宋体" w:cs="宋体"/>
                <w:sz w:val="21"/>
                <w:szCs w:val="21"/>
                <w:bdr w:val="none" w:color="auto" w:sz="0" w:space="0"/>
              </w:rPr>
              <w:t>b.合同包投标总价（报价总金额）：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6"/>
              <w:keepNext w:val="0"/>
              <w:keepLines w:val="0"/>
              <w:widowControl/>
              <w:suppressLineNumbers w:val="0"/>
            </w:pPr>
            <w:r>
              <w:rPr>
                <w:rFonts w:hint="eastAsia" w:ascii="宋体" w:hAnsi="宋体" w:eastAsia="宋体" w:cs="宋体"/>
                <w:sz w:val="21"/>
                <w:szCs w:val="21"/>
                <w:bdr w:val="none" w:color="auto" w:sz="0" w:space="0"/>
              </w:rPr>
              <w:t>c.“合同包内属于节能、环境标志产品的报价总金额”占“合同包投标总价（报价总金额）”的比例（以</w:t>
            </w:r>
            <w:r>
              <w:rPr>
                <w:rFonts w:hint="default" w:ascii="Calibri" w:hAnsi="Calibri" w:eastAsia="宋体" w:cs="Calibri"/>
                <w:sz w:val="21"/>
                <w:szCs w:val="21"/>
                <w:bdr w:val="none" w:color="auto" w:sz="0" w:space="0"/>
              </w:rPr>
              <w:t>%</w:t>
            </w:r>
            <w:r>
              <w:rPr>
                <w:rFonts w:hint="eastAsia" w:ascii="宋体" w:hAnsi="宋体" w:eastAsia="宋体" w:cs="宋体"/>
                <w:sz w:val="21"/>
                <w:szCs w:val="21"/>
                <w:bdr w:val="none" w:color="auto" w:sz="0" w:space="0"/>
              </w:rPr>
              <w:t>列示）：</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1、对节能、环境标志产品计算价格扣除时，只依据投标文件</w:t>
      </w:r>
      <w:r>
        <w:rPr>
          <w:rStyle w:val="8"/>
          <w:rFonts w:hint="eastAsia" w:ascii="宋体" w:hAnsi="宋体" w:eastAsia="宋体" w:cs="宋体"/>
          <w:sz w:val="21"/>
          <w:szCs w:val="21"/>
        </w:rPr>
        <w:t>“三</w:t>
      </w:r>
      <w:r>
        <w:rPr>
          <w:rStyle w:val="8"/>
          <w:rFonts w:hint="default" w:ascii="Calibri" w:hAnsi="Calibri" w:eastAsia="宋体" w:cs="Calibri"/>
          <w:sz w:val="21"/>
          <w:szCs w:val="21"/>
        </w:rPr>
        <w:t>-1-</w:t>
      </w:r>
      <w:r>
        <w:rPr>
          <w:rStyle w:val="8"/>
          <w:rFonts w:hint="eastAsia" w:ascii="宋体" w:hAnsi="宋体" w:eastAsia="宋体" w:cs="宋体"/>
          <w:sz w:val="21"/>
          <w:szCs w:val="21"/>
        </w:rPr>
        <w:t>②优先类节能产品、环境标志产品证明材料（价格扣除适用，若有）”。</w:t>
      </w:r>
    </w:p>
    <w:p>
      <w:pPr>
        <w:pStyle w:val="6"/>
        <w:keepNext w:val="0"/>
        <w:keepLines w:val="0"/>
        <w:widowControl/>
        <w:suppressLineNumbers w:val="0"/>
      </w:pPr>
      <w:r>
        <w:rPr>
          <w:rFonts w:hint="eastAsia" w:ascii="宋体" w:hAnsi="宋体" w:eastAsia="宋体" w:cs="宋体"/>
          <w:sz w:val="21"/>
          <w:szCs w:val="21"/>
        </w:rPr>
        <w:t>2、本表以合同包为单位，不同合同包请分别填写；同一合同包请按照其品目号顺序分别填写。</w:t>
      </w:r>
    </w:p>
    <w:p>
      <w:pPr>
        <w:pStyle w:val="6"/>
        <w:keepNext w:val="0"/>
        <w:keepLines w:val="0"/>
        <w:widowControl/>
        <w:suppressLineNumbers w:val="0"/>
      </w:pPr>
      <w:r>
        <w:rPr>
          <w:rFonts w:hint="eastAsia" w:ascii="宋体" w:hAnsi="宋体" w:eastAsia="宋体" w:cs="宋体"/>
          <w:sz w:val="21"/>
          <w:szCs w:val="21"/>
        </w:rPr>
        <w:t>3、具体统计、计算：</w:t>
      </w:r>
    </w:p>
    <w:p>
      <w:pPr>
        <w:pStyle w:val="6"/>
        <w:keepNext w:val="0"/>
        <w:keepLines w:val="0"/>
        <w:widowControl/>
        <w:suppressLineNumbers w:val="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6"/>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pPr>
      <w:r>
        <w:rPr>
          <w:rFonts w:hint="eastAsia" w:ascii="宋体" w:hAnsi="宋体" w:eastAsia="宋体" w:cs="宋体"/>
          <w:sz w:val="21"/>
          <w:szCs w:val="21"/>
        </w:rPr>
        <w:t>3.4若无节能、环境标志产品，不填写本表，否则，</w:t>
      </w:r>
      <w:r>
        <w:rPr>
          <w:rStyle w:val="8"/>
          <w:rFonts w:hint="eastAsia" w:ascii="宋体" w:hAnsi="宋体" w:eastAsia="宋体" w:cs="宋体"/>
          <w:sz w:val="21"/>
          <w:szCs w:val="21"/>
        </w:rPr>
        <w:t>视为提供虚假材料。</w:t>
      </w:r>
    </w:p>
    <w:p>
      <w:pPr>
        <w:pStyle w:val="6"/>
        <w:keepNext w:val="0"/>
        <w:keepLines w:val="0"/>
        <w:widowControl/>
        <w:suppressLineNumbers w:val="0"/>
      </w:pPr>
      <w:r>
        <w:rPr>
          <w:rFonts w:hint="eastAsia" w:ascii="宋体" w:hAnsi="宋体" w:eastAsia="宋体" w:cs="宋体"/>
          <w:sz w:val="21"/>
          <w:szCs w:val="21"/>
        </w:rPr>
        <w:t>4、纸质投标文件正本中的本表（若有）应为原件。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jc w:val="center"/>
      </w:pPr>
      <w:r>
        <w:rPr>
          <w:rStyle w:val="8"/>
          <w:rFonts w:hint="default" w:ascii="Calibri" w:hAnsi="Calibri" w:cs="Calibri"/>
          <w:sz w:val="21"/>
          <w:szCs w:val="21"/>
        </w:rPr>
        <w:br w:type="textWrapping"/>
      </w:r>
      <w:r>
        <w:rPr>
          <w:rStyle w:val="8"/>
          <w:rFonts w:hint="eastAsia" w:ascii="宋体" w:hAnsi="宋体" w:eastAsia="宋体" w:cs="宋体"/>
          <w:sz w:val="21"/>
          <w:szCs w:val="21"/>
        </w:rPr>
        <w:t>三-1-②优先类节能产品、环境标志产品证明材料（价格扣除适用，若有）</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jc w:val="center"/>
      </w:pPr>
      <w:r>
        <w:rPr>
          <w:rStyle w:val="8"/>
          <w:rFonts w:hint="default" w:ascii="Calibri" w:hAnsi="Calibri" w:cs="Calibri"/>
          <w:sz w:val="21"/>
          <w:szCs w:val="21"/>
        </w:rPr>
        <w:br w:type="textWrapping"/>
      </w:r>
      <w:r>
        <w:rPr>
          <w:rStyle w:val="8"/>
          <w:rFonts w:hint="eastAsia" w:ascii="宋体" w:hAnsi="宋体" w:eastAsia="宋体" w:cs="宋体"/>
          <w:sz w:val="21"/>
          <w:szCs w:val="21"/>
        </w:rPr>
        <w:t>三-2小型、微型企业产品等价格扣除证明材料（若有）</w:t>
      </w:r>
    </w:p>
    <w:p>
      <w:pPr>
        <w:pStyle w:val="6"/>
        <w:keepNext w:val="0"/>
        <w:keepLines w:val="0"/>
        <w:widowControl/>
        <w:suppressLineNumbers w:val="0"/>
        <w:jc w:val="center"/>
      </w:pPr>
      <w:r>
        <w:rPr>
          <w:rStyle w:val="8"/>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1"/>
          <w:szCs w:val="21"/>
        </w:rPr>
        <w:t>三-2-①小型、微型企业产品等统计表（价格扣除适用，若有）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W w:w="851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206"/>
        <w:gridCol w:w="1205"/>
        <w:gridCol w:w="1074"/>
        <w:gridCol w:w="995"/>
        <w:gridCol w:w="715"/>
        <w:gridCol w:w="995"/>
        <w:gridCol w:w="1133"/>
        <w:gridCol w:w="11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6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263" w:type="dxa"/>
            <w:gridSpan w:val="7"/>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1"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117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04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采购标的</w:t>
            </w:r>
          </w:p>
        </w:tc>
        <w:tc>
          <w:tcPr>
            <w:tcW w:w="96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68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96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03"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制造厂商</w:t>
            </w:r>
          </w:p>
        </w:tc>
        <w:tc>
          <w:tcPr>
            <w:tcW w:w="1146"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企业类型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1"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117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104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6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68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6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03"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1"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17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104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6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68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6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03"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1"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263" w:type="dxa"/>
            <w:gridSpan w:val="7"/>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pPr>
            <w:r>
              <w:rPr>
                <w:rFonts w:hint="eastAsia" w:ascii="宋体" w:hAnsi="宋体" w:eastAsia="宋体" w:cs="宋体"/>
                <w:sz w:val="21"/>
                <w:szCs w:val="21"/>
                <w:bdr w:val="none" w:color="auto" w:sz="0" w:space="0"/>
              </w:rPr>
              <w:t>合同包内属于小型、微型企业产品等的报价总金额：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1、对小型、微型企业产品等计算价格扣除时，只依据投标文件</w:t>
      </w:r>
      <w:r>
        <w:rPr>
          <w:rStyle w:val="8"/>
          <w:rFonts w:hint="eastAsia" w:ascii="宋体" w:hAnsi="宋体" w:eastAsia="宋体" w:cs="宋体"/>
          <w:sz w:val="21"/>
          <w:szCs w:val="21"/>
        </w:rPr>
        <w:t>“三</w:t>
      </w:r>
      <w:r>
        <w:rPr>
          <w:rStyle w:val="8"/>
          <w:rFonts w:hint="default" w:ascii="Calibri" w:hAnsi="Calibri" w:eastAsia="宋体" w:cs="Calibri"/>
          <w:sz w:val="21"/>
          <w:szCs w:val="21"/>
        </w:rPr>
        <w:t>-2-</w:t>
      </w:r>
      <w:r>
        <w:rPr>
          <w:rStyle w:val="8"/>
          <w:rFonts w:hint="eastAsia" w:ascii="宋体" w:hAnsi="宋体" w:eastAsia="宋体" w:cs="宋体"/>
          <w:sz w:val="21"/>
          <w:szCs w:val="21"/>
        </w:rPr>
        <w:t>②中小企业声明函（价格扣除适用，若有）”及“三</w:t>
      </w:r>
      <w:r>
        <w:rPr>
          <w:rStyle w:val="8"/>
          <w:rFonts w:hint="default" w:ascii="Calibri" w:hAnsi="Calibri" w:eastAsia="宋体" w:cs="Calibri"/>
          <w:sz w:val="21"/>
          <w:szCs w:val="21"/>
        </w:rPr>
        <w:t>-2-</w:t>
      </w:r>
      <w:r>
        <w:rPr>
          <w:rStyle w:val="8"/>
          <w:rFonts w:hint="eastAsia" w:ascii="宋体" w:hAnsi="宋体" w:eastAsia="宋体" w:cs="宋体"/>
          <w:sz w:val="21"/>
          <w:szCs w:val="21"/>
        </w:rPr>
        <w:t>③小型、微型企业等证明材料（价格扣除适用，若有）”。</w:t>
      </w:r>
    </w:p>
    <w:p>
      <w:pPr>
        <w:pStyle w:val="6"/>
        <w:keepNext w:val="0"/>
        <w:keepLines w:val="0"/>
        <w:widowControl/>
        <w:suppressLineNumbers w:val="0"/>
      </w:pPr>
      <w:r>
        <w:rPr>
          <w:rFonts w:hint="eastAsia" w:ascii="宋体" w:hAnsi="宋体" w:eastAsia="宋体" w:cs="宋体"/>
          <w:sz w:val="21"/>
          <w:szCs w:val="21"/>
        </w:rPr>
        <w:t>2、本表以合同包为单位，不同合同包请分别填写；同一合同包请按照其品目号顺序分别填写。</w:t>
      </w:r>
    </w:p>
    <w:p>
      <w:pPr>
        <w:pStyle w:val="6"/>
        <w:keepNext w:val="0"/>
        <w:keepLines w:val="0"/>
        <w:widowControl/>
        <w:suppressLineNumbers w:val="0"/>
      </w:pPr>
      <w:r>
        <w:rPr>
          <w:rFonts w:hint="eastAsia" w:ascii="宋体" w:hAnsi="宋体" w:eastAsia="宋体" w:cs="宋体"/>
          <w:sz w:val="21"/>
          <w:szCs w:val="21"/>
        </w:rPr>
        <w:t>3、</w:t>
      </w:r>
      <w:r>
        <w:rPr>
          <w:rStyle w:val="8"/>
          <w:rFonts w:hint="eastAsia" w:ascii="宋体" w:hAnsi="宋体" w:eastAsia="宋体" w:cs="宋体"/>
          <w:sz w:val="21"/>
          <w:szCs w:val="21"/>
        </w:rPr>
        <w:t>除本表第4条规定情形外，小型、微型企业（含监狱企业）承担的工程或提供的服务不享受价格扣除。</w:t>
      </w:r>
    </w:p>
    <w:p>
      <w:pPr>
        <w:pStyle w:val="6"/>
        <w:keepNext w:val="0"/>
        <w:keepLines w:val="0"/>
        <w:widowControl/>
        <w:suppressLineNumbers w:val="0"/>
      </w:pPr>
      <w:r>
        <w:rPr>
          <w:rFonts w:hint="eastAsia" w:ascii="宋体" w:hAnsi="宋体" w:eastAsia="宋体" w:cs="宋体"/>
          <w:sz w:val="21"/>
          <w:szCs w:val="21"/>
        </w:rPr>
        <w:t>4、符合财政部、民政部、中国残联文件（财库</w:t>
      </w:r>
      <w:r>
        <w:rPr>
          <w:rFonts w:hint="default"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sz w:val="21"/>
          <w:szCs w:val="21"/>
        </w:rPr>
        <w:t>可享受价格扣除。</w:t>
      </w:r>
    </w:p>
    <w:p>
      <w:pPr>
        <w:pStyle w:val="6"/>
        <w:keepNext w:val="0"/>
        <w:keepLines w:val="0"/>
        <w:widowControl/>
        <w:suppressLineNumbers w:val="0"/>
      </w:pPr>
      <w:r>
        <w:rPr>
          <w:rFonts w:hint="eastAsia" w:ascii="宋体" w:hAnsi="宋体" w:eastAsia="宋体" w:cs="宋体"/>
          <w:sz w:val="21"/>
          <w:szCs w:val="21"/>
        </w:rPr>
        <w:t>5、纸质投标文件正本中的本表（若有）应为原件。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default" w:ascii="Calibri" w:hAnsi="Calibri" w:cs="Calibri"/>
          <w:sz w:val="21"/>
          <w:szCs w:val="21"/>
        </w:rPr>
        <w:br w:type="textWrapping"/>
      </w:r>
      <w:r>
        <w:rPr>
          <w:rStyle w:val="8"/>
          <w:rFonts w:hint="eastAsia" w:ascii="宋体" w:hAnsi="宋体" w:eastAsia="宋体" w:cs="宋体"/>
          <w:sz w:val="21"/>
          <w:szCs w:val="21"/>
        </w:rPr>
        <w:t>三-2-②中小企业声明函（价格扣除适用，若有）</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pPr>
        <w:pStyle w:val="6"/>
        <w:keepNext w:val="0"/>
        <w:keepLines w:val="0"/>
        <w:widowControl/>
        <w:suppressLineNumbers w:val="0"/>
        <w:ind w:left="0"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pPr>
        <w:pStyle w:val="6"/>
        <w:keepNext w:val="0"/>
        <w:keepLines w:val="0"/>
        <w:widowControl/>
        <w:suppressLineNumbers w:val="0"/>
        <w:ind w:left="0"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（填写“项目名称”） </w:t>
      </w:r>
      <w:r>
        <w:rPr>
          <w:rFonts w:hint="eastAsia" w:ascii="宋体" w:hAnsi="宋体" w:eastAsia="宋体" w:cs="宋体"/>
          <w:sz w:val="21"/>
          <w:szCs w:val="21"/>
        </w:rPr>
        <w:t>项目采购活动，其中：</w:t>
      </w:r>
    </w:p>
    <w:p>
      <w:pPr>
        <w:pStyle w:val="6"/>
        <w:keepNext w:val="0"/>
        <w:keepLines w:val="0"/>
        <w:widowControl/>
        <w:suppressLineNumbers w:val="0"/>
        <w:ind w:left="0" w:firstLine="420"/>
      </w:pPr>
      <w:r>
        <w:rPr>
          <w:rFonts w:hint="eastAsia" w:ascii="宋体" w:hAnsi="宋体" w:eastAsia="宋体" w:cs="宋体"/>
          <w:sz w:val="21"/>
          <w:szCs w:val="21"/>
        </w:rPr>
        <w:t>①货物（不包括使用大型企业注册商标的货物）：</w:t>
      </w:r>
    </w:p>
    <w:p>
      <w:pPr>
        <w:pStyle w:val="6"/>
        <w:keepNext w:val="0"/>
        <w:keepLines w:val="0"/>
        <w:widowControl/>
        <w:suppressLineNumbers w:val="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pPr>
        <w:pStyle w:val="6"/>
        <w:keepNext w:val="0"/>
        <w:keepLines w:val="0"/>
        <w:widowControl/>
        <w:suppressLineNumbers w:val="0"/>
        <w:ind w:left="0"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6"/>
        <w:keepNext w:val="0"/>
        <w:keepLines w:val="0"/>
        <w:widowControl/>
        <w:suppressLineNumbers w:val="0"/>
        <w:ind w:left="0" w:firstLine="420"/>
      </w:pPr>
      <w:r>
        <w:rPr>
          <w:rFonts w:hint="eastAsia" w:ascii="宋体" w:hAnsi="宋体" w:eastAsia="宋体" w:cs="宋体"/>
          <w:sz w:val="21"/>
          <w:szCs w:val="21"/>
        </w:rPr>
        <w:t>②工程：</w:t>
      </w:r>
    </w:p>
    <w:p>
      <w:pPr>
        <w:pStyle w:val="6"/>
        <w:keepNext w:val="0"/>
        <w:keepLines w:val="0"/>
        <w:widowControl/>
        <w:suppressLineNumbers w:val="0"/>
        <w:ind w:lef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ind w:left="0" w:firstLine="420"/>
      </w:pPr>
      <w:r>
        <w:rPr>
          <w:rFonts w:hint="eastAsia" w:ascii="宋体" w:hAnsi="宋体" w:eastAsia="宋体" w:cs="宋体"/>
          <w:sz w:val="21"/>
          <w:szCs w:val="21"/>
        </w:rPr>
        <w:t>③服务：</w:t>
      </w:r>
    </w:p>
    <w:p>
      <w:pPr>
        <w:pStyle w:val="6"/>
        <w:keepNext w:val="0"/>
        <w:keepLines w:val="0"/>
        <w:widowControl/>
        <w:suppressLineNumbers w:val="0"/>
        <w:ind w:lef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6"/>
        <w:keepNext w:val="0"/>
        <w:keepLines w:val="0"/>
        <w:widowControl/>
        <w:suppressLineNumbers w:val="0"/>
        <w:ind w:lef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ind w:left="0" w:firstLine="42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pPr>
        <w:pStyle w:val="6"/>
        <w:keepNext w:val="0"/>
        <w:keepLines w:val="0"/>
        <w:widowControl/>
        <w:suppressLineNumbers w:val="0"/>
      </w:pPr>
      <w:r>
        <w:rPr>
          <w:rFonts w:hint="eastAsia" w:ascii="宋体" w:hAnsi="宋体" w:eastAsia="宋体" w:cs="宋体"/>
          <w:sz w:val="21"/>
          <w:szCs w:val="21"/>
        </w:rPr>
        <w:t>3、若《中小企业声明函》内容不真实，</w:t>
      </w:r>
      <w:r>
        <w:rPr>
          <w:rStyle w:val="8"/>
          <w:rFonts w:hint="eastAsia" w:ascii="宋体" w:hAnsi="宋体" w:eastAsia="宋体" w:cs="宋体"/>
          <w:sz w:val="21"/>
          <w:szCs w:val="21"/>
        </w:rPr>
        <w:t>视为提供虚假材料</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4、投标人为监狱企业的，可不填写本声明函。</w:t>
      </w:r>
    </w:p>
    <w:p>
      <w:pPr>
        <w:pStyle w:val="6"/>
        <w:keepNext w:val="0"/>
        <w:keepLines w:val="0"/>
        <w:widowControl/>
        <w:suppressLineNumbers w:val="0"/>
      </w:pPr>
      <w:r>
        <w:rPr>
          <w:rFonts w:hint="eastAsia" w:ascii="宋体" w:hAnsi="宋体" w:eastAsia="宋体" w:cs="宋体"/>
          <w:sz w:val="21"/>
          <w:szCs w:val="21"/>
        </w:rPr>
        <w:t>5、投标人为残疾人福利性单位的，可不填写本声明函。</w:t>
      </w:r>
    </w:p>
    <w:p>
      <w:pPr>
        <w:pStyle w:val="6"/>
        <w:keepNext w:val="0"/>
        <w:keepLines w:val="0"/>
        <w:widowControl/>
        <w:suppressLineNumbers w:val="0"/>
      </w:pPr>
      <w:r>
        <w:rPr>
          <w:rFonts w:hint="eastAsia" w:ascii="宋体" w:hAnsi="宋体" w:eastAsia="宋体" w:cs="宋体"/>
          <w:sz w:val="21"/>
          <w:szCs w:val="21"/>
        </w:rPr>
        <w:t>6、纸质投标文件正本中的本声明函（若有）应为原件。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三-2-③小型、微型企业等证明材料（价格扣除适用，若有）</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1、投标人应按照招标文件要求提供相应证明材料（包括但不限于：投标人或制造企业所在地的县级或以上中小企业主管部门的认定证明），证明材料应与《中小企业声明函》的内容相一致，否则视为《中小企业声明函》内容不真实。</w:t>
      </w:r>
    </w:p>
    <w:p>
      <w:pPr>
        <w:pStyle w:val="6"/>
        <w:keepNext w:val="0"/>
        <w:keepLines w:val="0"/>
        <w:widowControl/>
        <w:suppressLineNumbers w:val="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default" w:ascii="Calibri" w:hAnsi="Calibri" w:cs="Calibri"/>
          <w:sz w:val="21"/>
          <w:szCs w:val="21"/>
        </w:rPr>
        <w:br w:type="textWrapping"/>
      </w:r>
      <w:r>
        <w:rPr>
          <w:rFonts w:hint="eastAsia" w:ascii="宋体" w:hAnsi="宋体" w:eastAsia="宋体" w:cs="宋体"/>
          <w:sz w:val="21"/>
          <w:szCs w:val="21"/>
        </w:rPr>
        <w:t>附：</w:t>
      </w:r>
    </w:p>
    <w:p>
      <w:pPr>
        <w:pStyle w:val="6"/>
        <w:keepNext w:val="0"/>
        <w:keepLines w:val="0"/>
        <w:widowControl/>
        <w:suppressLineNumbers w:val="0"/>
        <w:jc w:val="center"/>
      </w:pPr>
      <w:r>
        <w:rPr>
          <w:rStyle w:val="8"/>
          <w:rFonts w:hint="eastAsia" w:ascii="宋体" w:hAnsi="宋体" w:eastAsia="宋体" w:cs="宋体"/>
          <w:sz w:val="21"/>
          <w:szCs w:val="21"/>
        </w:rPr>
        <w:t>残疾人福利性单位声明函（价格扣除适用，若有）</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6"/>
        <w:keepNext w:val="0"/>
        <w:keepLines w:val="0"/>
        <w:widowControl/>
        <w:suppressLineNumbers w:val="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6"/>
        <w:keepNext w:val="0"/>
        <w:keepLines w:val="0"/>
        <w:widowControl/>
        <w:suppressLineNumbers w:val="0"/>
        <w:ind w:lef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ind w:lef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pPr>
        <w:pStyle w:val="6"/>
        <w:keepNext w:val="0"/>
        <w:keepLines w:val="0"/>
        <w:widowControl/>
        <w:suppressLineNumbers w:val="0"/>
        <w:ind w:left="0"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pPr>
        <w:pStyle w:val="6"/>
        <w:keepNext w:val="0"/>
        <w:keepLines w:val="0"/>
        <w:widowControl/>
        <w:suppressLineNumbers w:val="0"/>
        <w:ind w:lef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ind w:left="0" w:firstLine="42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pPr>
      <w:r>
        <w:rPr>
          <w:rFonts w:hint="eastAsia" w:ascii="宋体" w:hAnsi="宋体" w:eastAsia="宋体" w:cs="宋体"/>
          <w:sz w:val="21"/>
          <w:szCs w:val="21"/>
        </w:rPr>
        <w:t>2、纸质投标文件正本中的本声明函（若有）应为原件。</w:t>
      </w:r>
    </w:p>
    <w:p>
      <w:pPr>
        <w:pStyle w:val="6"/>
        <w:keepNext w:val="0"/>
        <w:keepLines w:val="0"/>
        <w:widowControl/>
        <w:suppressLineNumbers w:val="0"/>
      </w:pPr>
      <w:r>
        <w:rPr>
          <w:rFonts w:hint="eastAsia" w:ascii="宋体" w:hAnsi="宋体" w:eastAsia="宋体" w:cs="宋体"/>
          <w:sz w:val="21"/>
          <w:szCs w:val="21"/>
        </w:rPr>
        <w:t>3、若《残疾人福利性单位声明函》内容不真实，</w:t>
      </w:r>
      <w:r>
        <w:rPr>
          <w:rStyle w:val="8"/>
          <w:rFonts w:hint="eastAsia" w:ascii="宋体" w:hAnsi="宋体" w:eastAsia="宋体" w:cs="宋体"/>
          <w:sz w:val="21"/>
          <w:szCs w:val="21"/>
        </w:rPr>
        <w:t>视为提供虚假材料</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4、符合财政部、民政部、中国残联文件（财库</w:t>
      </w:r>
      <w:r>
        <w:rPr>
          <w:rFonts w:hint="default"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sz w:val="21"/>
          <w:szCs w:val="21"/>
        </w:rPr>
        <w:t>可享受价格扣除。</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三-3招标文件规定的其他价格扣除证明材料（若有）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8"/>
          <w:rFonts w:hint="eastAsia" w:ascii="宋体" w:hAnsi="宋体" w:eastAsia="宋体" w:cs="宋体"/>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四、招标文件规定的加分证明材料（若有）</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1"/>
          <w:szCs w:val="21"/>
        </w:rPr>
        <w:t>四-1优先类节能产品、环境标志产品加分证明材料（若有）</w:t>
      </w:r>
    </w:p>
    <w:p>
      <w:pPr>
        <w:pStyle w:val="6"/>
        <w:keepNext w:val="0"/>
        <w:keepLines w:val="0"/>
        <w:widowControl/>
        <w:suppressLineNumbers w:val="0"/>
        <w:jc w:val="center"/>
      </w:pPr>
      <w:r>
        <w:rPr>
          <w:rStyle w:val="8"/>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1"/>
          <w:szCs w:val="21"/>
        </w:rPr>
        <w:t>四-1-①优先类节能产品、环境标志产品统计表（加分适用，若有）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W w:w="851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216"/>
        <w:gridCol w:w="1214"/>
        <w:gridCol w:w="1214"/>
        <w:gridCol w:w="1214"/>
        <w:gridCol w:w="1214"/>
        <w:gridCol w:w="1214"/>
        <w:gridCol w:w="12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7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254" w:type="dxa"/>
            <w:gridSpan w:val="6"/>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1"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货物名称</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1"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1"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18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1"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254" w:type="dxa"/>
            <w:gridSpan w:val="6"/>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pPr>
            <w:r>
              <w:rPr>
                <w:rFonts w:hint="eastAsia" w:ascii="宋体" w:hAnsi="宋体" w:eastAsia="宋体" w:cs="宋体"/>
                <w:sz w:val="21"/>
                <w:szCs w:val="21"/>
                <w:bdr w:val="none" w:color="auto" w:sz="0" w:space="0"/>
              </w:rPr>
              <w:t>a.合同包内属于节能、环境标志产品的报价总金额：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6"/>
              <w:keepNext w:val="0"/>
              <w:keepLines w:val="0"/>
              <w:widowControl/>
              <w:suppressLineNumbers w:val="0"/>
            </w:pPr>
            <w:r>
              <w:rPr>
                <w:rFonts w:hint="eastAsia" w:ascii="宋体" w:hAnsi="宋体" w:eastAsia="宋体" w:cs="宋体"/>
                <w:sz w:val="21"/>
                <w:szCs w:val="21"/>
                <w:bdr w:val="none" w:color="auto" w:sz="0" w:space="0"/>
              </w:rPr>
              <w:t>b.合同包投标总价（报价总金额）：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6"/>
              <w:keepNext w:val="0"/>
              <w:keepLines w:val="0"/>
              <w:widowControl/>
              <w:suppressLineNumbers w:val="0"/>
            </w:pPr>
            <w:r>
              <w:rPr>
                <w:rFonts w:hint="eastAsia" w:ascii="宋体" w:hAnsi="宋体" w:eastAsia="宋体" w:cs="宋体"/>
                <w:sz w:val="21"/>
                <w:szCs w:val="21"/>
                <w:bdr w:val="none" w:color="auto" w:sz="0" w:space="0"/>
              </w:rPr>
              <w:t>c.“合同包内属于节能、环境标志产品的报价总金额”占“合同包投标总价（报价总金额）”的比例（以</w:t>
            </w:r>
            <w:r>
              <w:rPr>
                <w:rFonts w:hint="default" w:ascii="Calibri" w:hAnsi="Calibri" w:eastAsia="宋体" w:cs="Calibri"/>
                <w:sz w:val="21"/>
                <w:szCs w:val="21"/>
                <w:bdr w:val="none" w:color="auto" w:sz="0" w:space="0"/>
              </w:rPr>
              <w:t>%</w:t>
            </w:r>
            <w:r>
              <w:rPr>
                <w:rFonts w:hint="eastAsia" w:ascii="宋体" w:hAnsi="宋体" w:eastAsia="宋体" w:cs="宋体"/>
                <w:sz w:val="21"/>
                <w:szCs w:val="21"/>
                <w:bdr w:val="none" w:color="auto" w:sz="0" w:space="0"/>
              </w:rPr>
              <w:t>列示）：</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1、对节能、环境标志产品计算加分时，只依据投标文件</w:t>
      </w:r>
      <w:r>
        <w:rPr>
          <w:rStyle w:val="8"/>
          <w:rFonts w:hint="eastAsia" w:ascii="宋体" w:hAnsi="宋体" w:eastAsia="宋体" w:cs="宋体"/>
          <w:sz w:val="21"/>
          <w:szCs w:val="21"/>
        </w:rPr>
        <w:t>“四</w:t>
      </w:r>
      <w:r>
        <w:rPr>
          <w:rStyle w:val="8"/>
          <w:rFonts w:hint="default" w:ascii="Calibri" w:hAnsi="Calibri" w:eastAsia="宋体" w:cs="Calibri"/>
          <w:sz w:val="21"/>
          <w:szCs w:val="21"/>
        </w:rPr>
        <w:t>-1-</w:t>
      </w:r>
      <w:r>
        <w:rPr>
          <w:rStyle w:val="8"/>
          <w:rFonts w:hint="eastAsia" w:ascii="宋体" w:hAnsi="宋体" w:eastAsia="宋体" w:cs="宋体"/>
          <w:sz w:val="21"/>
          <w:szCs w:val="21"/>
        </w:rPr>
        <w:t>②优先类节能产品、环境标志产品加分证明材料（加分适用，若有）”。</w:t>
      </w:r>
    </w:p>
    <w:p>
      <w:pPr>
        <w:pStyle w:val="6"/>
        <w:keepNext w:val="0"/>
        <w:keepLines w:val="0"/>
        <w:widowControl/>
        <w:suppressLineNumbers w:val="0"/>
      </w:pPr>
      <w:r>
        <w:rPr>
          <w:rFonts w:hint="eastAsia" w:ascii="宋体" w:hAnsi="宋体" w:eastAsia="宋体" w:cs="宋体"/>
          <w:sz w:val="21"/>
          <w:szCs w:val="21"/>
        </w:rPr>
        <w:t>2、本表以合同包为单位，不同合同包请分别填写；同一合同包请按照其品目号顺序分别填写。</w:t>
      </w:r>
    </w:p>
    <w:p>
      <w:pPr>
        <w:pStyle w:val="6"/>
        <w:keepNext w:val="0"/>
        <w:keepLines w:val="0"/>
        <w:widowControl/>
        <w:suppressLineNumbers w:val="0"/>
      </w:pPr>
      <w:r>
        <w:rPr>
          <w:rFonts w:hint="eastAsia" w:ascii="宋体" w:hAnsi="宋体" w:eastAsia="宋体" w:cs="宋体"/>
          <w:sz w:val="21"/>
          <w:szCs w:val="21"/>
        </w:rPr>
        <w:t>3、具体统计、计算：</w:t>
      </w:r>
    </w:p>
    <w:p>
      <w:pPr>
        <w:pStyle w:val="6"/>
        <w:keepNext w:val="0"/>
        <w:keepLines w:val="0"/>
        <w:widowControl/>
        <w:suppressLineNumbers w:val="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6"/>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pPr>
      <w:r>
        <w:rPr>
          <w:rFonts w:hint="eastAsia" w:ascii="宋体" w:hAnsi="宋体" w:eastAsia="宋体" w:cs="宋体"/>
          <w:sz w:val="21"/>
          <w:szCs w:val="21"/>
        </w:rPr>
        <w:t>3.4若无节能、环境标志产品，不填写本表，否则，</w:t>
      </w:r>
      <w:r>
        <w:rPr>
          <w:rStyle w:val="8"/>
          <w:rFonts w:hint="eastAsia" w:ascii="宋体" w:hAnsi="宋体" w:eastAsia="宋体" w:cs="宋体"/>
          <w:sz w:val="21"/>
          <w:szCs w:val="21"/>
        </w:rPr>
        <w:t>视为提供虚假材料</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4、纸质投标文件正本中的本表（若有）应为原件。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jc w:val="center"/>
      </w:pPr>
      <w:r>
        <w:rPr>
          <w:rStyle w:val="8"/>
          <w:rFonts w:hint="default" w:ascii="Calibri" w:hAnsi="Calibri" w:cs="Calibri"/>
          <w:sz w:val="21"/>
          <w:szCs w:val="21"/>
        </w:rPr>
        <w:br w:type="textWrapping"/>
      </w:r>
      <w:r>
        <w:rPr>
          <w:rStyle w:val="8"/>
          <w:rFonts w:hint="eastAsia" w:ascii="宋体" w:hAnsi="宋体" w:eastAsia="宋体" w:cs="宋体"/>
          <w:sz w:val="21"/>
          <w:szCs w:val="21"/>
        </w:rPr>
        <w:t>四-1-②优先类节能产品、环境标志产品证明材料（加分适用，若有）</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pPr>
      <w:r>
        <w:rPr>
          <w:rStyle w:val="8"/>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8"/>
          <w:rFonts w:hint="eastAsia" w:ascii="宋体" w:hAnsi="宋体" w:eastAsia="宋体" w:cs="宋体"/>
          <w:sz w:val="21"/>
          <w:szCs w:val="21"/>
        </w:rPr>
        <w:t>-2招标文件规定的其他加分证明材料（若有）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8"/>
          <w:rFonts w:hint="eastAsia" w:ascii="宋体" w:hAnsi="宋体" w:eastAsia="宋体" w:cs="宋体"/>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eastAsia" w:ascii="宋体" w:hAnsi="宋体" w:eastAsia="宋体" w:cs="宋体"/>
          <w:sz w:val="28"/>
          <w:szCs w:val="28"/>
        </w:rPr>
        <w:t>封面格式</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48"/>
          <w:szCs w:val="48"/>
        </w:rPr>
        <w:t>福建省政府采购投标文件</w:t>
      </w:r>
    </w:p>
    <w:p>
      <w:pPr>
        <w:pStyle w:val="6"/>
        <w:keepNext w:val="0"/>
        <w:keepLines w:val="0"/>
        <w:widowControl/>
        <w:suppressLineNumbers w:val="0"/>
        <w:jc w:val="center"/>
      </w:pPr>
      <w:r>
        <w:rPr>
          <w:rStyle w:val="8"/>
          <w:rFonts w:hint="eastAsia" w:ascii="宋体" w:hAnsi="宋体" w:eastAsia="宋体" w:cs="宋体"/>
          <w:sz w:val="48"/>
          <w:szCs w:val="48"/>
        </w:rPr>
        <w:t>（技术商务部分）</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36"/>
          <w:szCs w:val="36"/>
          <w:u w:val="single"/>
        </w:rPr>
        <w:t>（填写正本或副本）</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ind w:left="0" w:firstLine="1920"/>
      </w:pPr>
      <w:r>
        <w:rPr>
          <w:rStyle w:val="8"/>
          <w:rFonts w:hint="eastAsia" w:ascii="宋体" w:hAnsi="宋体" w:eastAsia="宋体" w:cs="宋体"/>
          <w:sz w:val="31"/>
          <w:szCs w:val="31"/>
        </w:rPr>
        <w:t>项目名称：</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备案编号：</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招标编号：</w:t>
      </w:r>
      <w:r>
        <w:rPr>
          <w:rStyle w:val="8"/>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8"/>
          <w:rFonts w:hint="eastAsia" w:ascii="宋体" w:hAnsi="宋体" w:eastAsia="宋体" w:cs="宋体"/>
          <w:sz w:val="31"/>
          <w:szCs w:val="31"/>
        </w:rPr>
        <w:t>所投合同包：</w:t>
      </w:r>
      <w:r>
        <w:rPr>
          <w:rStyle w:val="8"/>
          <w:rFonts w:hint="eastAsia" w:ascii="宋体" w:hAnsi="宋体" w:eastAsia="宋体" w:cs="宋体"/>
          <w:sz w:val="31"/>
          <w:szCs w:val="31"/>
          <w:u w:val="single"/>
        </w:rPr>
        <w:t>（由投标人填写）</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8"/>
          <w:rFonts w:hint="eastAsia" w:ascii="宋体" w:hAnsi="宋体" w:eastAsia="宋体" w:cs="宋体"/>
          <w:sz w:val="31"/>
          <w:szCs w:val="31"/>
        </w:rPr>
        <w:t>投标人：</w:t>
      </w:r>
      <w:r>
        <w:rPr>
          <w:rStyle w:val="8"/>
          <w:rFonts w:hint="eastAsia" w:ascii="宋体" w:hAnsi="宋体" w:eastAsia="宋体" w:cs="宋体"/>
          <w:sz w:val="31"/>
          <w:szCs w:val="31"/>
          <w:u w:val="single"/>
        </w:rPr>
        <w:t>（填写“全称”）</w:t>
      </w:r>
    </w:p>
    <w:p>
      <w:pPr>
        <w:pStyle w:val="6"/>
        <w:keepNext w:val="0"/>
        <w:keepLines w:val="0"/>
        <w:widowControl/>
        <w:suppressLineNumbers w:val="0"/>
        <w:jc w:val="center"/>
      </w:pPr>
      <w:r>
        <w:rPr>
          <w:rStyle w:val="8"/>
          <w:rFonts w:hint="eastAsia" w:ascii="宋体" w:hAnsi="宋体" w:eastAsia="宋体" w:cs="宋体"/>
          <w:sz w:val="31"/>
          <w:szCs w:val="31"/>
          <w:u w:val="single"/>
        </w:rPr>
        <w:t>（由投标人填写）</w:t>
      </w:r>
      <w:r>
        <w:rPr>
          <w:rStyle w:val="8"/>
          <w:rFonts w:hint="eastAsia" w:ascii="宋体" w:hAnsi="宋体" w:eastAsia="宋体" w:cs="宋体"/>
          <w:sz w:val="31"/>
          <w:szCs w:val="31"/>
        </w:rPr>
        <w:t>年</w:t>
      </w:r>
      <w:r>
        <w:rPr>
          <w:rStyle w:val="8"/>
          <w:rFonts w:hint="eastAsia" w:ascii="宋体" w:hAnsi="宋体" w:eastAsia="宋体" w:cs="宋体"/>
          <w:sz w:val="31"/>
          <w:szCs w:val="31"/>
          <w:u w:val="single"/>
        </w:rPr>
        <w:t>（由投标人填写）</w:t>
      </w:r>
      <w:r>
        <w:rPr>
          <w:rStyle w:val="8"/>
          <w:rFonts w:hint="eastAsia" w:ascii="宋体" w:hAnsi="宋体" w:eastAsia="宋体" w:cs="宋体"/>
          <w:sz w:val="31"/>
          <w:szCs w:val="31"/>
        </w:rPr>
        <w:t>月</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8"/>
          <w:szCs w:val="28"/>
        </w:rPr>
        <w:t>索引</w:t>
      </w:r>
    </w:p>
    <w:p>
      <w:pPr>
        <w:pStyle w:val="6"/>
        <w:keepNext w:val="0"/>
        <w:keepLines w:val="0"/>
        <w:widowControl/>
        <w:suppressLineNumbers w:val="0"/>
      </w:pPr>
      <w:r>
        <w:rPr>
          <w:rFonts w:hint="eastAsia" w:ascii="宋体" w:hAnsi="宋体" w:eastAsia="宋体" w:cs="宋体"/>
          <w:sz w:val="28"/>
          <w:szCs w:val="28"/>
        </w:rPr>
        <w:t>一、标的说明一览表</w:t>
      </w:r>
    </w:p>
    <w:p>
      <w:pPr>
        <w:pStyle w:val="6"/>
        <w:keepNext w:val="0"/>
        <w:keepLines w:val="0"/>
        <w:widowControl/>
        <w:suppressLineNumbers w:val="0"/>
      </w:pPr>
      <w:r>
        <w:rPr>
          <w:rFonts w:hint="eastAsia" w:ascii="宋体" w:hAnsi="宋体" w:eastAsia="宋体" w:cs="宋体"/>
          <w:sz w:val="28"/>
          <w:szCs w:val="28"/>
        </w:rPr>
        <w:t>二、技术和服务要求响应表</w:t>
      </w:r>
    </w:p>
    <w:p>
      <w:pPr>
        <w:pStyle w:val="6"/>
        <w:keepNext w:val="0"/>
        <w:keepLines w:val="0"/>
        <w:widowControl/>
        <w:suppressLineNumbers w:val="0"/>
      </w:pPr>
      <w:r>
        <w:rPr>
          <w:rFonts w:hint="eastAsia" w:ascii="宋体" w:hAnsi="宋体" w:eastAsia="宋体" w:cs="宋体"/>
          <w:sz w:val="28"/>
          <w:szCs w:val="28"/>
        </w:rPr>
        <w:t>三、商务条件响应表</w:t>
      </w:r>
    </w:p>
    <w:p>
      <w:pPr>
        <w:pStyle w:val="6"/>
        <w:keepNext w:val="0"/>
        <w:keepLines w:val="0"/>
        <w:widowControl/>
        <w:suppressLineNumbers w:val="0"/>
      </w:pPr>
      <w:r>
        <w:rPr>
          <w:rFonts w:hint="eastAsia" w:ascii="宋体" w:hAnsi="宋体" w:eastAsia="宋体" w:cs="宋体"/>
          <w:sz w:val="28"/>
          <w:szCs w:val="28"/>
        </w:rPr>
        <w:t>四、投标人提交的其他资料（若有）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★注意</w:t>
      </w:r>
    </w:p>
    <w:p>
      <w:pPr>
        <w:pStyle w:val="6"/>
        <w:keepNext w:val="0"/>
        <w:keepLines w:val="0"/>
        <w:widowControl/>
        <w:suppressLineNumbers w:val="0"/>
        <w:ind w:left="0" w:firstLine="420"/>
      </w:pPr>
      <w:r>
        <w:rPr>
          <w:rFonts w:hint="eastAsia" w:ascii="宋体" w:hAnsi="宋体" w:eastAsia="宋体" w:cs="宋体"/>
          <w:sz w:val="21"/>
          <w:szCs w:val="21"/>
        </w:rPr>
        <w:t>技术商务部分中不得出现报价部分的全部或部分的投标报价信息（或组成资料），否则</w:t>
      </w:r>
      <w:r>
        <w:rPr>
          <w:rStyle w:val="8"/>
          <w:rFonts w:hint="eastAsia" w:ascii="宋体" w:hAnsi="宋体" w:eastAsia="宋体" w:cs="宋体"/>
          <w:sz w:val="21"/>
          <w:szCs w:val="21"/>
        </w:rPr>
        <w:t>符合性审查不合格</w:t>
      </w:r>
      <w:r>
        <w:rPr>
          <w:rFonts w:hint="eastAsia" w:ascii="宋体" w:hAnsi="宋体" w:eastAsia="宋体" w:cs="宋体"/>
          <w:sz w:val="21"/>
          <w:szCs w:val="21"/>
        </w:rPr>
        <w:t>。</w:t>
      </w:r>
    </w:p>
    <w:p>
      <w:pPr>
        <w:pStyle w:val="6"/>
        <w:keepNext w:val="0"/>
        <w:keepLines w:val="0"/>
        <w:widowControl/>
        <w:suppressLineNumbers w:val="0"/>
        <w:ind w:left="0" w:firstLine="420"/>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一、标的说明一览表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W w:w="851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79"/>
        <w:gridCol w:w="869"/>
        <w:gridCol w:w="1665"/>
        <w:gridCol w:w="864"/>
        <w:gridCol w:w="1136"/>
        <w:gridCol w:w="1136"/>
        <w:gridCol w:w="18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3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839"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63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投标标的</w:t>
            </w:r>
          </w:p>
        </w:tc>
        <w:tc>
          <w:tcPr>
            <w:tcW w:w="83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106"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规格</w:t>
            </w:r>
          </w:p>
        </w:tc>
        <w:tc>
          <w:tcPr>
            <w:tcW w:w="1106"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来源地</w:t>
            </w:r>
          </w:p>
        </w:tc>
        <w:tc>
          <w:tcPr>
            <w:tcW w:w="1821"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34"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839"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163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3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2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34"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39"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163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3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2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3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839"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63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3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2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1.1“合同包”、“品目号”、“投标标的”及“数量”应与招标文件《采购标的一览表》中的有关内容（“合同包”、“品目号”、“采购标的”及“数量”）保持一致。</w:t>
      </w:r>
    </w:p>
    <w:p>
      <w:pPr>
        <w:pStyle w:val="6"/>
        <w:keepNext w:val="0"/>
        <w:keepLines w:val="0"/>
        <w:widowControl/>
        <w:suppressLineNumbers w:val="0"/>
      </w:pPr>
      <w:r>
        <w:rPr>
          <w:rFonts w:hint="eastAsia" w:ascii="宋体" w:hAnsi="宋体" w:eastAsia="宋体" w:cs="宋体"/>
          <w:sz w:val="21"/>
          <w:szCs w:val="21"/>
        </w:rPr>
        <w:t>1.2“投标标的”为货物的：</w:t>
      </w:r>
      <w:r>
        <w:rPr>
          <w:rStyle w:val="8"/>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sz w:val="21"/>
          <w:szCs w:val="21"/>
        </w:rPr>
        <w:t>“来源地”</w:t>
      </w:r>
      <w:r>
        <w:rPr>
          <w:rFonts w:hint="eastAsia" w:ascii="宋体" w:hAnsi="宋体" w:eastAsia="宋体" w:cs="宋体"/>
          <w:sz w:val="21"/>
          <w:szCs w:val="21"/>
        </w:rPr>
        <w:t>应填写货物的原产地。</w:t>
      </w:r>
      <w:r>
        <w:rPr>
          <w:rStyle w:val="8"/>
          <w:rFonts w:hint="eastAsia" w:ascii="宋体" w:hAnsi="宋体" w:eastAsia="宋体" w:cs="宋体"/>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keepNext w:val="0"/>
        <w:keepLines w:val="0"/>
        <w:widowControl/>
        <w:suppressLineNumbers w:val="0"/>
      </w:pPr>
      <w:r>
        <w:rPr>
          <w:rFonts w:hint="eastAsia" w:ascii="宋体" w:hAnsi="宋体" w:eastAsia="宋体" w:cs="宋体"/>
          <w:sz w:val="21"/>
          <w:szCs w:val="21"/>
        </w:rPr>
        <w:t>1.3“投标标的”为服务的：</w:t>
      </w:r>
      <w:r>
        <w:rPr>
          <w:rStyle w:val="8"/>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8"/>
          <w:rFonts w:hint="eastAsia" w:ascii="宋体" w:hAnsi="宋体" w:eastAsia="宋体" w:cs="宋体"/>
          <w:sz w:val="21"/>
          <w:szCs w:val="21"/>
        </w:rPr>
        <w:t>“来源地”</w:t>
      </w:r>
      <w:r>
        <w:rPr>
          <w:rFonts w:hint="eastAsia" w:ascii="宋体" w:hAnsi="宋体" w:eastAsia="宋体" w:cs="宋体"/>
          <w:sz w:val="21"/>
          <w:szCs w:val="21"/>
        </w:rPr>
        <w:t>应填写服务提供者的所在地。</w:t>
      </w:r>
      <w:r>
        <w:rPr>
          <w:rStyle w:val="8"/>
          <w:rFonts w:hint="eastAsia" w:ascii="宋体" w:hAnsi="宋体" w:eastAsia="宋体" w:cs="宋体"/>
          <w:sz w:val="21"/>
          <w:szCs w:val="21"/>
        </w:rPr>
        <w:t>“备注”</w:t>
      </w:r>
      <w:r>
        <w:rPr>
          <w:rFonts w:hint="eastAsia" w:ascii="宋体" w:hAnsi="宋体" w:eastAsia="宋体" w:cs="宋体"/>
          <w:sz w:val="21"/>
          <w:szCs w:val="21"/>
        </w:rPr>
        <w:t>项下应填写关于服务标准所涵盖的具体项目或内容的说明等。</w:t>
      </w:r>
    </w:p>
    <w:p>
      <w:pPr>
        <w:pStyle w:val="6"/>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2、投标人需要说明的内容若需特殊表达，应先在本表中进行相应说明，再另页应答，否则</w:t>
      </w:r>
      <w:r>
        <w:rPr>
          <w:rStyle w:val="8"/>
          <w:rFonts w:hint="eastAsia" w:ascii="宋体" w:hAnsi="宋体" w:eastAsia="宋体" w:cs="宋体"/>
          <w:sz w:val="21"/>
          <w:szCs w:val="21"/>
        </w:rPr>
        <w:t>投标无效</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3、投标文件中涉及</w:t>
      </w:r>
      <w:r>
        <w:rPr>
          <w:rStyle w:val="8"/>
          <w:rFonts w:hint="eastAsia" w:ascii="宋体" w:hAnsi="宋体" w:eastAsia="宋体" w:cs="宋体"/>
          <w:sz w:val="21"/>
          <w:szCs w:val="21"/>
        </w:rPr>
        <w:t>“投标标的”、“数量”、“规格”、“来源地”</w:t>
      </w:r>
      <w:r>
        <w:rPr>
          <w:rFonts w:hint="eastAsia" w:ascii="宋体" w:hAnsi="宋体" w:eastAsia="宋体" w:cs="宋体"/>
          <w:sz w:val="21"/>
          <w:szCs w:val="21"/>
        </w:rPr>
        <w:t>的内容若不一致，</w:t>
      </w:r>
      <w:r>
        <w:rPr>
          <w:rStyle w:val="8"/>
          <w:rFonts w:hint="eastAsia" w:ascii="宋体" w:hAnsi="宋体" w:eastAsia="宋体" w:cs="宋体"/>
          <w:sz w:val="21"/>
          <w:szCs w:val="21"/>
        </w:rPr>
        <w:t>应以本表为准</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4、纸质投标文件正本中的本表应为原件。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8"/>
          <w:rFonts w:hint="default" w:ascii="Calibri" w:hAnsi="Calibri" w:cs="Calibri"/>
          <w:sz w:val="21"/>
          <w:szCs w:val="21"/>
        </w:rPr>
        <w:br w:type="textWrapping"/>
      </w:r>
      <w:r>
        <w:rPr>
          <w:rStyle w:val="8"/>
          <w:rFonts w:hint="eastAsia" w:ascii="宋体" w:hAnsi="宋体" w:eastAsia="宋体" w:cs="宋体"/>
          <w:sz w:val="21"/>
          <w:szCs w:val="21"/>
        </w:rPr>
        <w:t>二、技术和服务要求响应表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W w:w="8518"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89"/>
        <w:gridCol w:w="875"/>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55" w:hRule="atLeast"/>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8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289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技术和服务要求</w:t>
            </w:r>
          </w:p>
        </w:tc>
        <w:tc>
          <w:tcPr>
            <w:tcW w:w="180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投标响应</w:t>
            </w:r>
          </w:p>
        </w:tc>
        <w:tc>
          <w:tcPr>
            <w:tcW w:w="1848"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15" w:type="dxa"/>
        </w:trPr>
        <w:tc>
          <w:tcPr>
            <w:tcW w:w="944"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2897"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15" w:type="dxa"/>
        </w:trPr>
        <w:tc>
          <w:tcPr>
            <w:tcW w:w="944"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2897"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8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4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1.1“技术和服务要求”项下填写的内容应与招标文件第五章“技术和服务要求”的内容保持一致。</w:t>
      </w:r>
    </w:p>
    <w:p>
      <w:pPr>
        <w:pStyle w:val="6"/>
        <w:keepNext w:val="0"/>
        <w:keepLines w:val="0"/>
        <w:widowControl/>
        <w:suppressLineNumbers w:val="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pPr>
        <w:pStyle w:val="6"/>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    另页应答，否则</w:t>
      </w:r>
      <w:r>
        <w:rPr>
          <w:rStyle w:val="8"/>
          <w:rFonts w:hint="eastAsia" w:ascii="宋体" w:hAnsi="宋体" w:eastAsia="宋体" w:cs="宋体"/>
          <w:sz w:val="21"/>
          <w:szCs w:val="21"/>
        </w:rPr>
        <w:t>投标无效</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3、纸质投标文件正本中的本表应为原件。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8"/>
          <w:rFonts w:hint="eastAsia" w:ascii="宋体" w:hAnsi="宋体" w:eastAsia="宋体" w:cs="宋体"/>
          <w:sz w:val="21"/>
          <w:szCs w:val="21"/>
        </w:rPr>
        <w:t>三、商务条件响应表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W w:w="8518"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89"/>
        <w:gridCol w:w="875"/>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8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2897"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商务条件</w:t>
            </w:r>
          </w:p>
        </w:tc>
        <w:tc>
          <w:tcPr>
            <w:tcW w:w="180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投标响应</w:t>
            </w:r>
          </w:p>
        </w:tc>
        <w:tc>
          <w:tcPr>
            <w:tcW w:w="1848"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15" w:type="dxa"/>
        </w:trPr>
        <w:tc>
          <w:tcPr>
            <w:tcW w:w="944"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2897"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15" w:type="dxa"/>
        </w:trPr>
        <w:tc>
          <w:tcPr>
            <w:tcW w:w="944"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2897"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8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4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1.1“商务条件”项下填写的内容应与招标文件第五章“商务条件”的内容保持一致。</w:t>
      </w:r>
    </w:p>
    <w:p>
      <w:pPr>
        <w:pStyle w:val="6"/>
        <w:keepNext w:val="0"/>
        <w:keepLines w:val="0"/>
        <w:widowControl/>
        <w:suppressLineNumbers w:val="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6"/>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2、投标人需要说明的内容若需特殊表达，应先在本表中进行相应说明，再另页应答，否则</w:t>
      </w:r>
      <w:r>
        <w:rPr>
          <w:rStyle w:val="8"/>
          <w:rFonts w:hint="eastAsia" w:ascii="宋体" w:hAnsi="宋体" w:eastAsia="宋体" w:cs="宋体"/>
          <w:sz w:val="21"/>
          <w:szCs w:val="21"/>
        </w:rPr>
        <w:t>投标无效</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3、纸质投标文件正本中的本表应为原件。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br w:type="textWrapping"/>
      </w:r>
      <w:r>
        <w:rPr>
          <w:rStyle w:val="8"/>
          <w:rFonts w:hint="eastAsia" w:ascii="宋体" w:hAnsi="宋体" w:eastAsia="宋体" w:cs="宋体"/>
          <w:sz w:val="21"/>
          <w:szCs w:val="21"/>
        </w:rPr>
        <w:t>四、投标人提交的其他资料（若有）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1、招标文件要求提交的除</w:t>
      </w:r>
      <w:r>
        <w:rPr>
          <w:rStyle w:val="8"/>
          <w:rFonts w:hint="eastAsia" w:ascii="宋体" w:hAnsi="宋体" w:eastAsia="宋体" w:cs="宋体"/>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6"/>
        <w:keepNext w:val="0"/>
        <w:keepLines w:val="0"/>
        <w:widowControl/>
        <w:suppressLineNumbers w:val="0"/>
      </w:pPr>
      <w:r>
        <w:rPr>
          <w:rFonts w:hint="eastAsia" w:ascii="宋体" w:hAnsi="宋体" w:eastAsia="宋体" w:cs="宋体"/>
          <w:sz w:val="21"/>
          <w:szCs w:val="21"/>
        </w:rPr>
        <w:t>2、招标文件要求投标人提供方案（包括但不限于：组织、实施、技术、服务方案等）的，投标人应在此项下提交。</w:t>
      </w:r>
    </w:p>
    <w:p>
      <w:pPr>
        <w:pStyle w:val="6"/>
        <w:keepNext w:val="0"/>
        <w:keepLines w:val="0"/>
        <w:widowControl/>
        <w:suppressLineNumbers w:val="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4"/>
        <w:keepNext w:val="0"/>
        <w:keepLines w:val="0"/>
        <w:widowControl/>
        <w:suppressLineNumbers w:val="0"/>
        <w:ind w:left="0" w:firstLine="0"/>
        <w:rPr>
          <w:rFonts w:hint="eastAsia" w:ascii="宋体" w:hAnsi="宋体" w:eastAsia="宋体" w:cs="宋体"/>
          <w:i w:val="0"/>
          <w:caps w:val="0"/>
          <w:color w:val="000000"/>
          <w:spacing w:val="0"/>
        </w:rPr>
      </w:pPr>
      <w:r>
        <w:rPr>
          <w:rFonts w:hint="eastAsia" w:ascii="宋体" w:hAnsi="宋体" w:eastAsia="宋体" w:cs="宋体"/>
          <w:i w:val="0"/>
          <w:caps w:val="0"/>
          <w:color w:val="000000"/>
          <w:spacing w:val="0"/>
        </w:rPr>
        <w:t>采购文件相关附件</w:t>
      </w:r>
    </w:p>
    <w:p>
      <w:pPr>
        <w:keepNext w:val="0"/>
        <w:keepLines w:val="0"/>
        <w:widowControl/>
        <w:suppressLineNumbers w:val="0"/>
        <w:jc w:val="left"/>
      </w:pPr>
      <w:r>
        <w:rPr>
          <w:rFonts w:hint="default" w:ascii="Calibri" w:hAnsi="Calibri" w:eastAsia="宋体" w:cs="Calibri"/>
          <w:b w:val="0"/>
          <w:i w:val="0"/>
          <w:caps w:val="0"/>
          <w:color w:val="000000"/>
          <w:spacing w:val="0"/>
          <w:kern w:val="0"/>
          <w:sz w:val="21"/>
          <w:szCs w:val="21"/>
          <w:lang w:val="en-US" w:eastAsia="zh-CN" w:bidi="ar"/>
        </w:rPr>
        <w:t> </w:t>
      </w: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b w:val="0"/>
          <w:i w:val="0"/>
          <w:caps w:val="0"/>
          <w:color w:val="000000"/>
          <w:spacing w:val="0"/>
          <w:sz w:val="27"/>
          <w:szCs w:val="27"/>
        </w:rPr>
      </w:pPr>
      <w:r>
        <w:rPr>
          <w:rFonts w:hint="default" w:ascii="Calibri" w:hAnsi="Calibri" w:eastAsia="宋体" w:cs="Calibri"/>
          <w:b w:val="0"/>
          <w:i w:val="0"/>
          <w:caps w:val="0"/>
          <w:color w:val="000000"/>
          <w:spacing w:val="0"/>
          <w:sz w:val="21"/>
          <w:szCs w:val="21"/>
        </w:rPr>
        <w:t> </w:t>
      </w:r>
    </w:p>
    <w:p>
      <w:pPr>
        <w:pStyle w:val="6"/>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default" w:ascii="Calibri" w:hAnsi="Calibri" w:eastAsia="宋体" w:cs="Calibri"/>
          <w:b w:val="0"/>
          <w:i w:val="0"/>
          <w:caps w:val="0"/>
          <w:color w:val="000000"/>
          <w:spacing w:val="0"/>
          <w:sz w:val="21"/>
          <w:szCs w:val="21"/>
        </w:rPr>
        <w:t> </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61121"/>
    <w:rsid w:val="13B61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2018-09-13T03:27:00Z</dcterms:created>
  <dc:creator>ZHS</dc:creator>
  <cp:lastModifiedBy>ZHS</cp:lastModifiedBy>
  <dcterms:modified xsi:type="dcterms:W3CDTF">2018-09-13T03:28:52Z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