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2D" w:rsidRPr="004A4ECA" w:rsidRDefault="004A4ECA" w:rsidP="004A4ECA">
      <w:pPr>
        <w:jc w:val="center"/>
        <w:rPr>
          <w:rFonts w:ascii="宋体" w:eastAsia="宋体" w:hAnsi="宋体" w:cs="宋体"/>
          <w:sz w:val="32"/>
          <w:szCs w:val="32"/>
        </w:rPr>
      </w:pPr>
      <w:r w:rsidRPr="004A4ECA">
        <w:rPr>
          <w:rFonts w:ascii="微软雅黑" w:eastAsia="微软雅黑" w:hAnsi="微软雅黑" w:cs="宋体" w:hint="eastAsia"/>
          <w:color w:val="073C88"/>
          <w:kern w:val="36"/>
          <w:sz w:val="32"/>
          <w:szCs w:val="32"/>
        </w:rPr>
        <w:t>福建医科大学文理艺术学院采购在线课程数字课程资源参数要求</w:t>
      </w:r>
    </w:p>
    <w:tbl>
      <w:tblPr>
        <w:tblpPr w:leftFromText="180" w:rightFromText="180" w:vertAnchor="page" w:horzAnchor="page" w:tblpX="942" w:tblpY="2168"/>
        <w:tblOverlap w:val="never"/>
        <w:tblW w:w="10370" w:type="dxa"/>
        <w:tblLayout w:type="fixed"/>
        <w:tblLook w:val="04A0" w:firstRow="1" w:lastRow="0" w:firstColumn="1" w:lastColumn="0" w:noHBand="0" w:noVBand="1"/>
      </w:tblPr>
      <w:tblGrid>
        <w:gridCol w:w="1356"/>
        <w:gridCol w:w="4350"/>
        <w:gridCol w:w="2414"/>
        <w:gridCol w:w="950"/>
        <w:gridCol w:w="1300"/>
      </w:tblGrid>
      <w:tr w:rsidR="0006142D" w:rsidTr="004A4ECA">
        <w:trPr>
          <w:trHeight w:val="841"/>
        </w:trPr>
        <w:tc>
          <w:tcPr>
            <w:tcW w:w="10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 w:rsidP="004A4ECA">
            <w:pPr>
              <w:widowControl/>
              <w:tabs>
                <w:tab w:val="left" w:pos="2612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 师德风范，育人素养（共10门课程，40学时）</w:t>
            </w:r>
          </w:p>
        </w:tc>
      </w:tr>
      <w:tr w:rsidR="0006142D">
        <w:trPr>
          <w:trHeight w:val="67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主讲专家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课程分类</w:t>
            </w:r>
          </w:p>
        </w:tc>
      </w:tr>
      <w:tr w:rsidR="0006142D">
        <w:trPr>
          <w:trHeight w:val="459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1. 师德养成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新时代我国教师队伍建设的政策与策略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做新时代铸魂育人的好教师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2. 课程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设计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基于价值观的外语教育：外语全人教育探讨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课程思政视野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中的语言技术与语言生态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从外语教学到外语教育——几门英语课程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的思政育人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探索</w:t>
            </w:r>
            <w:bookmarkStart w:id="0" w:name="_GoBack"/>
            <w:bookmarkEnd w:id="0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外语教学中的课程思政：理念与实践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高校课程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思政教学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案例示范与评析——东华理工大学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高校课程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思政教学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案例示范与评析——江苏大学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高校课程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思政课例资源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库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462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01"/>
                <w:rFonts w:hint="default"/>
                <w:color w:val="auto"/>
                <w:lang w:bidi="ar"/>
              </w:rPr>
              <w:t>大学英语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课程思政智慧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教学设计与示范——以《新视野大学英语读写教程》（</w:t>
            </w:r>
            <w:proofErr w:type="gramStart"/>
            <w:r>
              <w:rPr>
                <w:rStyle w:val="font01"/>
                <w:rFonts w:hint="default"/>
                <w:color w:val="auto"/>
                <w:lang w:bidi="ar"/>
              </w:rPr>
              <w:t>思政智慧</w:t>
            </w:r>
            <w:proofErr w:type="gramEnd"/>
            <w:r>
              <w:rPr>
                <w:rStyle w:val="font01"/>
                <w:rFonts w:hint="default"/>
                <w:color w:val="auto"/>
                <w:lang w:bidi="ar"/>
              </w:rPr>
              <w:t>版）为例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师德教育</w:t>
            </w:r>
          </w:p>
        </w:tc>
      </w:tr>
      <w:tr w:rsidR="0006142D">
        <w:trPr>
          <w:trHeight w:val="9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主题学时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 w:rsidP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共计10门课程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4A4ECA" w:rsidRDefault="004A4ECA">
      <w:pPr>
        <w:rPr>
          <w:rFonts w:ascii="宋体" w:eastAsia="宋体" w:hAnsi="宋体" w:cs="宋体"/>
          <w:sz w:val="28"/>
          <w:szCs w:val="28"/>
        </w:rPr>
      </w:pPr>
    </w:p>
    <w:p w:rsidR="004A4ECA" w:rsidRDefault="004A4ECA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06142D" w:rsidRDefault="0006142D">
      <w:pPr>
        <w:rPr>
          <w:rFonts w:ascii="宋体" w:eastAsia="宋体" w:hAnsi="宋体" w:cs="宋体"/>
          <w:sz w:val="28"/>
          <w:szCs w:val="28"/>
        </w:rPr>
      </w:pPr>
    </w:p>
    <w:tbl>
      <w:tblPr>
        <w:tblpPr w:leftFromText="180" w:rightFromText="180" w:vertAnchor="text" w:tblpX="255" w:tblpY="1"/>
        <w:tblOverlap w:val="never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4350"/>
        <w:gridCol w:w="2400"/>
        <w:gridCol w:w="975"/>
        <w:gridCol w:w="1312"/>
      </w:tblGrid>
      <w:tr w:rsidR="0006142D">
        <w:trPr>
          <w:trHeight w:val="459"/>
        </w:trPr>
        <w:tc>
          <w:tcPr>
            <w:tcW w:w="10425" w:type="dxa"/>
            <w:gridSpan w:val="5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tabs>
                <w:tab w:val="left" w:pos="4267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主题二 学科知识，教学素养</w:t>
            </w:r>
          </w:p>
          <w:p w:rsidR="0006142D" w:rsidRDefault="00B41BE1">
            <w:pPr>
              <w:widowControl/>
              <w:tabs>
                <w:tab w:val="left" w:pos="4267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（共82门课程，393学时）</w:t>
            </w:r>
          </w:p>
        </w:tc>
      </w:tr>
      <w:tr w:rsidR="0006142D">
        <w:trPr>
          <w:trHeight w:val="459"/>
        </w:trPr>
        <w:tc>
          <w:tcPr>
            <w:tcW w:w="1388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主讲专家</w:t>
            </w: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课程分类</w:t>
            </w:r>
          </w:p>
        </w:tc>
      </w:tr>
      <w:tr w:rsidR="0006142D">
        <w:trPr>
          <w:trHeight w:val="459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1. 教学理论与基础教法</w:t>
            </w: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外语教学理念与实践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外语教学案例评析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产出导向型教学法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产出导向法教学流程与案例解析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产出导向法理论指导下的教材使用理念、流程与效果评价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课程改革背景下的教学观：对比与反思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英语语言教学与人类命运共同体构建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语言教学与二语习得中的纠正性反馈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教师反思：是什么？为什么？怎么做？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外语教与学中的心理学：理论与实践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课程改革背景下的教学观：对比与反思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英语发展史：教学方法与实践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法律英语课程设计与教学方法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2. 二语写作教学理论与实践研讨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二语写作教学：理念与实践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以“续”促学——提高外语学习和教学效率的新途径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外语读写“金课”教学设计理念与实践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我国企业英文年报写作多维评价与对比研究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英语写作智慧教学：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体裁与二语写作研究：焦点、方法及发展趋势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二语写作反馈研究：视角、热点与展望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Peerceptiv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 在线系统的英语写作同伴互评研究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大数据视野下的中国大学生英语写作能力分析与解读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外语写作教学：理念与方法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英语写作课程的“淘金”与“淘宝”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疫情期间网上大学英语教学如何赋能学生的二语写作能力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EFL Writing Teacher Education: Issues and Challenges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The Research-Practice Nexus: Genre-Process Pedagogies for Improving Student Learning in the EFL/EAP Writing Classroom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3. 跨文化思辨教学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跨文化语言教学之新动向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跨文化视角下外语教育的人文特色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外语教学中的跨文化能力培养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外语教学中的思辨能力培养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90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谈谈跨文化思辨英语教学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跨文化思辨英语教学：理念与方法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跨文化思辨写作教学：示范与评析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跨文化思辨口语教学：示范与评析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跨文化思辨精读教学：示范与评析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4. 学习策略与学习能力培养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探究式学习：发展学生独立学习的能力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外语教与学中的心理学：理论与实践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从“教”到“学”：改变传统课堂师生角色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外语写作教学中的动机策略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从“教”到“学”：改变传统课堂师生角色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翻转课堂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之主动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学习课堂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5. 英语演讲辩论教学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英语演讲课程设计与教学方法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《演讲的艺术》翻转课堂教学示范课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英语演讲教学实践：方法与案例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英语演讲教学的本土化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翻转课堂模式下的英语演讲教学：创新与实践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英语演讲辩论课程与关键能力培养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bottom"/>
          </w:tcPr>
          <w:p w:rsidR="0006142D" w:rsidRDefault="00B41BE1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从中美主播电视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交锋看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英语演讲教学资源的选择、评析及使用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06142D" w:rsidRDefault="0006142D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bottom"/>
          </w:tcPr>
          <w:p w:rsidR="0006142D" w:rsidRDefault="00B41BE1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英语演讲与辩论课程教学与研究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06142D" w:rsidRDefault="0006142D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第六届全国英语演讲与写作教学学术研讨会（部分内容）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第七届全国英语演讲与写作教学学术研讨会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6. 英语语音与口语教学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英语语音教学：理念与方法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英语口语教学工作坊：项目教学法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7. 翻译教学与研究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高校翻译专业教学发展方向与教师能力培养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口译语言课程教学理念与方法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口译技能课程教学理念与方法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专题口译课程教学理念与方法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口译理论课程教学理念与方法 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口译教学体系中的质量评估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翻译学理论建设与研究现状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8. 雅思教学</w:t>
            </w:r>
          </w:p>
        </w:tc>
        <w:tc>
          <w:tcPr>
            <w:tcW w:w="4350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雅思课程教学：热点问题探讨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bottom"/>
          </w:tcPr>
          <w:p w:rsidR="0006142D" w:rsidRDefault="00B41BE1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英语口语中的逻辑思维能力培养</w:t>
            </w:r>
          </w:p>
        </w:tc>
        <w:tc>
          <w:tcPr>
            <w:tcW w:w="2400" w:type="dxa"/>
            <w:shd w:val="clear" w:color="auto" w:fill="FFFFFF"/>
            <w:noWrap/>
            <w:vAlign w:val="bottom"/>
          </w:tcPr>
          <w:p w:rsidR="0006142D" w:rsidRDefault="0006142D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bottom"/>
          </w:tcPr>
          <w:p w:rsidR="0006142D" w:rsidRDefault="00B41BE1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外刊在雅思读写课中的应用</w:t>
            </w:r>
          </w:p>
        </w:tc>
        <w:tc>
          <w:tcPr>
            <w:tcW w:w="2400" w:type="dxa"/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FFFFFF"/>
            <w:vAlign w:val="bottom"/>
          </w:tcPr>
          <w:p w:rsidR="0006142D" w:rsidRDefault="00B41BE1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雅思阅读中的句子结构教学设计：案例分析</w:t>
            </w:r>
          </w:p>
        </w:tc>
        <w:tc>
          <w:tcPr>
            <w:tcW w:w="2400" w:type="dxa"/>
            <w:shd w:val="clear" w:color="auto" w:fill="FFFFFF"/>
            <w:noWrap/>
            <w:vAlign w:val="bottom"/>
          </w:tcPr>
          <w:p w:rsidR="0006142D" w:rsidRDefault="0006142D">
            <w:pPr>
              <w:widowControl/>
              <w:jc w:val="left"/>
              <w:textAlignment w:val="bottom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9. 教学评价与测评素养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外语课堂教学评估：目的与实践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语言测评：基本问题与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考量</w:t>
            </w:r>
            <w:proofErr w:type="gramEnd"/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外语课堂评价：理念与方法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外语教师的测评素养：理念与实践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大学英语四、六级考试真题解析与指导：翻译、写作能力的培养与评价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Rasch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测量理论入门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10. 法语教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育教学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“高校法语专业基础阶段课程设计与教学方法”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 xml:space="preserve">研讨会——语音教学工坊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“高校法语专业基础阶段课程设计与教学方法”研讨会——语法教学工作坊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“高校法语专业基础阶段课程设计与教学方法”研讨会——视听说教学工作坊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“高校法语专业基础阶段课程设计与教学方法”研讨会——词汇教学工作坊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“高校法语专业基础阶段课程设计与教学方法”研讨会——阅读教学工作坊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“高校法语专业基础阶段课程设计与教学方法”研讨会——翻译教学工作坊 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11. 朝鲜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语教育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新时代朝鲜（韩国）语教学改革与发展研讨会线上研修课程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2019年新时代朝鲜（韩国）语教学改革与发展研讨会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 w:val="restart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12. 西班牙语教育教学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《（新版）现西》二年级精读示范课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vMerge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《（新版）现西》一年级精读示范课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13. 阿拉伯语教育教学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社高等院校阿拉伯语专业基础阶段教学法研修班（录像）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多语种教育教学</w:t>
            </w:r>
          </w:p>
        </w:tc>
      </w:tr>
      <w:tr w:rsidR="0006142D">
        <w:trPr>
          <w:trHeight w:val="462"/>
        </w:trPr>
        <w:tc>
          <w:tcPr>
            <w:tcW w:w="1388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主题概况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:rsidR="0006142D" w:rsidRDefault="00B41BE1" w:rsidP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共82门课程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tbl>
      <w:tblPr>
        <w:tblW w:w="10530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376"/>
        <w:gridCol w:w="11"/>
        <w:gridCol w:w="4325"/>
        <w:gridCol w:w="12"/>
        <w:gridCol w:w="2402"/>
        <w:gridCol w:w="975"/>
        <w:gridCol w:w="12"/>
        <w:gridCol w:w="1300"/>
        <w:gridCol w:w="13"/>
        <w:gridCol w:w="92"/>
      </w:tblGrid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0412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tabs>
                <w:tab w:val="left" w:pos="2767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主题三 智慧教学，信息素养</w:t>
            </w:r>
          </w:p>
          <w:p w:rsidR="0006142D" w:rsidRDefault="00B41BE1">
            <w:pPr>
              <w:widowControl/>
              <w:tabs>
                <w:tab w:val="left" w:pos="2767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（共40门课程，97学时）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主讲专家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课程分类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1. 在线教学模式与实践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后疫情期间的大学外语在线教学：实践、反思与展望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后疫情时期同步异步混合教学新模式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大学外语线上课堂如何有效教学？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大学英语线上混合式教学模式的构建与实施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新时期大学英语课程体系建设与智慧教学“新常态”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依托UMOOCs与U校园平台的大学英语课程体系设计、评价与反思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大学英语在线教学与互动设计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大学英语线上资源的整合利用与教学活动设计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大学英语在线教学模式下的“教、学、测、练”：设计与实践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在线模式下的英语过程性写作教学设计与实践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2. 混合式教学设计与实践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高校外语混合式教学设计案例库：教学理念篇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高校外语混合式教学设计案例库：教学设计篇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后疫情时期大学英语混合式教学设计：实践与反思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基于MOOC、SPOC的混合式教学与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慕课资源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的选择利用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MOOC/SPOC深度混合学习的教学设计与改进——以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《新视野大学英语（第三版）读写教程》慕课课程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为例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《西方文化之窗》混合式教学实践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齐齐哈尔大学基于UMOOCs平台的英语专业视听说课程设计 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吉林外国语大学基于MOOC&amp;UMOOCs的混合式大学英语教学改革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四川外国语大学大学英语PTMF混合式教学模式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混合式“金课”教学与教师专业发展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微课与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翻转课堂：理念、设计与评价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大学英语听说智慧教学的资源利用与实践创新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3. 一流课程建设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一流本科课程建设、应用及申报政策解读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混合式一流课程建设、应用与实践——以《大学英语》为例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线上一流课程建设、应用与实践——以《大学英语：英语语言技能提高方法》为例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南昌工程学院基于UMOOCs的《畅游赣鄱——水文化英文之旅》混合式教学实践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基于慕课的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大学英语语法混合式教学模式探索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“新文科”下的中国文化英文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课程思政育人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体系构建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基于慕课的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《语言学导论》混合式教学模式探索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高校外语教师信息化教学能力构建与学术能力发展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4. 教师信息素养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大数据驱动下的新型学习生态系统构建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语言学与“新基建”和数字经济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语言智能与翻译人才培养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信息技术发展与教育变革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微课制作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方法与常用工具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冷眼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看慕课</w:t>
            </w:r>
            <w:proofErr w:type="gramEnd"/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工具实操：在线直播工具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与微课设计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制作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5. 智慧测评设计与实施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在线模式下以测促学的教学设计与实践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基于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iTEST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的在线期末测试设计与实施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大学英语教学的多元测评模式：以中国矿业大学为例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教育技术</w:t>
            </w:r>
          </w:p>
        </w:tc>
      </w:tr>
      <w:tr w:rsidR="0006142D">
        <w:trPr>
          <w:gridBefore w:val="1"/>
          <w:gridAfter w:val="2"/>
          <w:wBefore w:w="13" w:type="dxa"/>
          <w:wAfter w:w="105" w:type="dxa"/>
          <w:trHeight w:val="462"/>
        </w:trPr>
        <w:tc>
          <w:tcPr>
            <w:tcW w:w="13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主题概况</w:t>
            </w:r>
          </w:p>
        </w:tc>
        <w:tc>
          <w:tcPr>
            <w:tcW w:w="433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 w:rsidP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共40门课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0439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 四 学术提升，科研素养</w:t>
            </w:r>
          </w:p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（共53门课程，344学时）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主讲专家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课程分类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38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1. 项目申报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社科基金课题申报知识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389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 xml:space="preserve">社科基金选题和文献史梳理 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389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社科基金项目论证和前期基础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389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从科研零起点到国家社科基金重点项目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2. 研究方法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量化研究论文写作： 题目“亮”起来，结果“量”出来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语言、数据与研究：阿檀小倪讲量化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语言、数据与研究：量化工具百宝箱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语言、数据与研究：人工智能案例说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外语教学中的质性研究：方法与案例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外语教学与研究中的行动研究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3. 选题挖掘与研究设计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语料库研究方法：基础与应用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学术文献检索与整理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学术文献阅读与评价——兼论科研选题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九步搞定问卷设计与数据分析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4. 统计分析与论文发表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十讲走进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语言统计学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六讲提升语言统计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国际期刊论文写作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国际期刊论文发表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语言、数据与研究：论文发表学者谈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科研方法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5. 应用语言学研究专题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应用语言学研究概述与发展史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应用语言学研究主要领域与前沿问题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系统功能语言学（应用篇）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系统功能语言学（基础篇）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系统功能语言学学术思想的流变、融合与发展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6. 二语习得研究专题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二语习得研究的发展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第二语言习得研究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任务在二语教学中的作用研究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二语写作研究与论文发表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7. 其他科研专题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生态语言学：理念与实践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说“四言格”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关于对比语言学应用的思考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现代汉语语法研究的发展历程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语言研究如何选题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从时代的发展看语言学理论的创新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外语词汇教学研究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英汉对比研究：理论与实践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什么是理论，如何创新理论——从语言学理论构建的角度看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情态和情态研究的若干问题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汉语“连”字句：句法-语义互动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语言学理论集中流派之间的分歧与共性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语言能力研究的发展与突破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Style w:val="font71"/>
                <w:rFonts w:hint="default"/>
                <w:color w:val="auto"/>
                <w:lang w:bidi="ar"/>
              </w:rPr>
              <w:t>叙实性</w:t>
            </w:r>
            <w:proofErr w:type="gramEnd"/>
            <w:r>
              <w:rPr>
                <w:rStyle w:val="font71"/>
                <w:rFonts w:hint="default"/>
                <w:color w:val="auto"/>
                <w:lang w:bidi="ar"/>
              </w:rPr>
              <w:t>与事实性：语言推理的两种导航机制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Style w:val="font71"/>
                <w:rFonts w:hint="default"/>
                <w:color w:val="auto"/>
                <w:lang w:bidi="ar"/>
              </w:rPr>
              <w:t>对比视角下的学习者语料库研究思路及教学应用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外语教学中的身份认同研究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外语教学中的社会文化理论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会话分析：特征辨析与研究设计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心里语言学（上）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心里语言学（下）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中国外语教育与研究发展40年——功能语言学研究发展40年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中国外语教育与研究发展40年——外语教师教育研究发展40年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中国外语教育与研究发展40年——口译研究发展40年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中国外语教育与研究发展40年——笔译研究发展40年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中国外语教育与研究发展40年——外语测评研究发展40年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gridAfter w:val="1"/>
          <w:wAfter w:w="91" w:type="dxa"/>
          <w:trHeight w:val="462"/>
        </w:trPr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主题概况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 w:rsidP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共53门课程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06142D">
        <w:trPr>
          <w:gridAfter w:val="1"/>
          <w:wAfter w:w="91" w:type="dxa"/>
          <w:trHeight w:val="642"/>
        </w:trPr>
        <w:tc>
          <w:tcPr>
            <w:tcW w:w="10439" w:type="dxa"/>
            <w:gridSpan w:val="10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tabs>
                <w:tab w:val="left" w:pos="4501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主题五 管理能力，职业规划</w:t>
            </w:r>
          </w:p>
          <w:p w:rsidR="0006142D" w:rsidRDefault="00B41BE1">
            <w:pPr>
              <w:widowControl/>
              <w:tabs>
                <w:tab w:val="left" w:pos="4501"/>
              </w:tabs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（共11门课程，28学时）</w:t>
            </w:r>
          </w:p>
        </w:tc>
      </w:tr>
      <w:tr w:rsidR="0006142D">
        <w:trPr>
          <w:gridAfter w:val="1"/>
          <w:wAfter w:w="91" w:type="dxa"/>
          <w:trHeight w:val="642"/>
        </w:trPr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模块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主讲专家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课程分类</w:t>
            </w:r>
          </w:p>
        </w:tc>
      </w:tr>
      <w:tr w:rsidR="0006142D">
        <w:trPr>
          <w:gridAfter w:val="1"/>
          <w:wAfter w:w="91" w:type="dxa"/>
          <w:trHeight w:val="64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 教育国际化与教学管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理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新时代高等教育科教创新与发展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After w:val="1"/>
          <w:wAfter w:w="91" w:type="dxa"/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新时代高等教育国际交流与人才培养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gridAfter w:val="1"/>
          <w:wAfter w:w="91" w:type="dxa"/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新时代高等教育学科机制管理与国际化发展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中国大学国际学术影响力与“双一流”建设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高等教育国际化与国际人才培养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跨文化视角下的校本叙事研究与加拿大国际教育现状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研究方法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国际组织需要什么样的人才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测试评估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 教学管理与教师发展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后疫情时期外语教学管理规划与教师能力培养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教学方法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教师自我意识提升：方法与策略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jc w:val="lef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英语教师身份认同：理念与研究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科研专题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3 个人发展，家庭教育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为了最好的遇见——培养走进世界一流大学的有故事的孩子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06142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家庭教育</w:t>
            </w:r>
          </w:p>
        </w:tc>
      </w:tr>
      <w:tr w:rsidR="0006142D">
        <w:trPr>
          <w:trHeight w:val="642"/>
        </w:trPr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主题概况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 w:rsidP="00B41BE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共11门课程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B41BE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06142D" w:rsidRDefault="0006142D">
            <w:pPr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4A4ECA" w:rsidRDefault="004A4ECA">
      <w:pPr>
        <w:rPr>
          <w:rFonts w:ascii="宋体" w:eastAsia="宋体" w:hAnsi="宋体" w:cs="宋体"/>
          <w:sz w:val="28"/>
          <w:szCs w:val="28"/>
        </w:rPr>
      </w:pPr>
    </w:p>
    <w:p w:rsidR="004A4ECA" w:rsidRDefault="004A4EC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特别说明：以上所列数字课程资源门数和课时数为最低要求，投标人需达到或高于本要求。</w:t>
      </w:r>
    </w:p>
    <w:p w:rsidR="0006142D" w:rsidRPr="004A4ECA" w:rsidRDefault="00B41BE1">
      <w:pPr>
        <w:rPr>
          <w:rFonts w:ascii="宋体" w:eastAsia="宋体" w:hAnsi="宋体" w:cs="宋体"/>
          <w:b/>
          <w:sz w:val="28"/>
          <w:szCs w:val="28"/>
        </w:rPr>
      </w:pPr>
      <w:r w:rsidRPr="004A4ECA">
        <w:rPr>
          <w:rFonts w:ascii="宋体" w:eastAsia="宋体" w:hAnsi="宋体" w:cs="宋体" w:hint="eastAsia"/>
          <w:b/>
          <w:sz w:val="28"/>
          <w:szCs w:val="28"/>
        </w:rPr>
        <w:t>其它服务应不少于如下列举：</w:t>
      </w:r>
    </w:p>
    <w:p w:rsidR="004A4ECA" w:rsidRDefault="004A4ECA" w:rsidP="004A4ECA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✓ 研修课程：全平台课程开放，新课及时学，好课随时学</w:t>
      </w:r>
    </w:p>
    <w:p w:rsidR="004A4ECA" w:rsidRDefault="004A4ECA" w:rsidP="004A4ECA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✓ 教学资源：配套提供教材相关的各类教学素材与测试题库资源</w:t>
      </w:r>
    </w:p>
    <w:p w:rsidR="004A4ECA" w:rsidRDefault="004A4ECA" w:rsidP="004A4ECA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✓ 学习管理：学习管理服务升级，定制学习计划，反馈学情数据</w:t>
      </w:r>
    </w:p>
    <w:p w:rsidR="004A4ECA" w:rsidRDefault="004A4ECA" w:rsidP="004A4ECA">
      <w:pPr>
        <w:spacing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✓ 成果传播：邀请会员院校</w:t>
      </w:r>
      <w:proofErr w:type="gramStart"/>
      <w:r>
        <w:rPr>
          <w:rFonts w:ascii="宋体" w:eastAsia="宋体" w:hAnsi="宋体" w:cs="宋体"/>
          <w:sz w:val="28"/>
          <w:szCs w:val="28"/>
        </w:rPr>
        <w:t>作客</w:t>
      </w:r>
      <w:proofErr w:type="gramEnd"/>
      <w:r>
        <w:rPr>
          <w:rFonts w:ascii="宋体" w:eastAsia="宋体" w:hAnsi="宋体" w:cs="宋体"/>
          <w:sz w:val="28"/>
          <w:szCs w:val="28"/>
        </w:rPr>
        <w:t>直播</w:t>
      </w:r>
      <w:r>
        <w:rPr>
          <w:rFonts w:ascii="宋体" w:eastAsia="宋体" w:hAnsi="宋体" w:cs="宋体" w:hint="eastAsia"/>
          <w:sz w:val="28"/>
          <w:szCs w:val="28"/>
        </w:rPr>
        <w:t>服务。</w:t>
      </w:r>
    </w:p>
    <w:p w:rsidR="0006142D" w:rsidRPr="004A4ECA" w:rsidRDefault="0006142D" w:rsidP="00B41BE1">
      <w:pPr>
        <w:rPr>
          <w:rFonts w:ascii="宋体" w:eastAsia="宋体" w:hAnsi="宋体" w:cs="宋体"/>
          <w:sz w:val="28"/>
          <w:szCs w:val="28"/>
        </w:rPr>
      </w:pPr>
    </w:p>
    <w:sectPr w:rsidR="0006142D" w:rsidRPr="004A4ECA">
      <w:footerReference w:type="default" r:id="rId9"/>
      <w:pgSz w:w="11906" w:h="16838"/>
      <w:pgMar w:top="1440" w:right="669" w:bottom="1440" w:left="66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DB" w:rsidRDefault="00FE7CDB">
      <w:r>
        <w:separator/>
      </w:r>
    </w:p>
  </w:endnote>
  <w:endnote w:type="continuationSeparator" w:id="0">
    <w:p w:rsidR="00FE7CDB" w:rsidRDefault="00F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BE1" w:rsidRDefault="00B41B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1BE1" w:rsidRDefault="00B41BE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C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665C53">
                              <w:rPr>
                                <w:noProof/>
                              </w:rPr>
                              <w:t>13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41BE1" w:rsidRDefault="00B41BE1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C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665C53">
                        <w:rPr>
                          <w:noProof/>
                        </w:rPr>
                        <w:t>13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DB" w:rsidRDefault="00FE7CDB">
      <w:r>
        <w:separator/>
      </w:r>
    </w:p>
  </w:footnote>
  <w:footnote w:type="continuationSeparator" w:id="0">
    <w:p w:rsidR="00FE7CDB" w:rsidRDefault="00FE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5AD"/>
    <w:multiLevelType w:val="multilevel"/>
    <w:tmpl w:val="109E25A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009249"/>
    <w:multiLevelType w:val="singleLevel"/>
    <w:tmpl w:val="140092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D21C55"/>
    <w:multiLevelType w:val="multilevel"/>
    <w:tmpl w:val="3FD21C5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502817"/>
    <w:multiLevelType w:val="multilevel"/>
    <w:tmpl w:val="7650281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25CE8"/>
    <w:rsid w:val="00054D8C"/>
    <w:rsid w:val="0006142D"/>
    <w:rsid w:val="000E2A3F"/>
    <w:rsid w:val="004A4ECA"/>
    <w:rsid w:val="004E3CBC"/>
    <w:rsid w:val="00665C53"/>
    <w:rsid w:val="0072314E"/>
    <w:rsid w:val="00B41BE1"/>
    <w:rsid w:val="00FE7CDB"/>
    <w:rsid w:val="557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Pr>
      <w:rFonts w:ascii="微软雅黑" w:eastAsia="微软雅黑" w:hAnsi="微软雅黑" w:cs="微软雅黑" w:hint="eastAsia"/>
      <w:b/>
      <w:bCs/>
      <w:color w:val="FFFFFF"/>
      <w:sz w:val="20"/>
      <w:szCs w:val="20"/>
      <w:u w:val="none"/>
    </w:rPr>
  </w:style>
  <w:style w:type="character" w:customStyle="1" w:styleId="font01">
    <w:name w:val="font01"/>
    <w:basedOn w:val="a0"/>
    <w:rPr>
      <w:rFonts w:ascii="微软雅黑" w:eastAsia="微软雅黑" w:hAnsi="微软雅黑" w:cs="微软雅黑" w:hint="eastAsia"/>
      <w:color w:val="262626"/>
      <w:sz w:val="20"/>
      <w:szCs w:val="20"/>
      <w:u w:val="none"/>
    </w:rPr>
  </w:style>
  <w:style w:type="character" w:customStyle="1" w:styleId="font41">
    <w:name w:val="font41"/>
    <w:basedOn w:val="a0"/>
    <w:rPr>
      <w:rFonts w:ascii="微软雅黑" w:eastAsia="微软雅黑" w:hAnsi="微软雅黑" w:cs="微软雅黑" w:hint="eastAsia"/>
      <w:b/>
      <w:bCs/>
      <w:color w:val="9855B3"/>
      <w:sz w:val="20"/>
      <w:szCs w:val="20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eastAsia"/>
      <w:b/>
      <w:bCs/>
      <w:color w:val="FFFFFF"/>
      <w:sz w:val="28"/>
      <w:szCs w:val="28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 w:hint="eastAsia"/>
      <w:b/>
      <w:bCs/>
      <w:color w:val="FFFFFF"/>
      <w:sz w:val="20"/>
      <w:szCs w:val="20"/>
      <w:u w:val="none"/>
    </w:rPr>
  </w:style>
  <w:style w:type="character" w:customStyle="1" w:styleId="font31">
    <w:name w:val="font31"/>
    <w:basedOn w:val="a0"/>
    <w:rPr>
      <w:rFonts w:ascii="微软雅黑" w:eastAsia="微软雅黑" w:hAnsi="微软雅黑" w:cs="微软雅黑" w:hint="eastAsia"/>
      <w:b/>
      <w:bCs/>
      <w:color w:val="305496"/>
      <w:sz w:val="20"/>
      <w:szCs w:val="20"/>
      <w:u w:val="none"/>
    </w:rPr>
  </w:style>
  <w:style w:type="character" w:customStyle="1" w:styleId="font71">
    <w:name w:val="font71"/>
    <w:basedOn w:val="a0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054D8C"/>
    <w:rPr>
      <w:sz w:val="18"/>
      <w:szCs w:val="18"/>
    </w:rPr>
  </w:style>
  <w:style w:type="character" w:customStyle="1" w:styleId="Char">
    <w:name w:val="批注框文本 Char"/>
    <w:basedOn w:val="a0"/>
    <w:link w:val="a6"/>
    <w:rsid w:val="00054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41BE1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-51">
    <w:name w:val="浅色列表 - 着色 51"/>
    <w:basedOn w:val="a"/>
    <w:uiPriority w:val="99"/>
    <w:qFormat/>
    <w:rsid w:val="00B41BE1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rPr>
      <w:rFonts w:ascii="微软雅黑" w:eastAsia="微软雅黑" w:hAnsi="微软雅黑" w:cs="微软雅黑" w:hint="eastAsia"/>
      <w:b/>
      <w:bCs/>
      <w:color w:val="FFFFFF"/>
      <w:sz w:val="20"/>
      <w:szCs w:val="20"/>
      <w:u w:val="none"/>
    </w:rPr>
  </w:style>
  <w:style w:type="character" w:customStyle="1" w:styleId="font01">
    <w:name w:val="font01"/>
    <w:basedOn w:val="a0"/>
    <w:rPr>
      <w:rFonts w:ascii="微软雅黑" w:eastAsia="微软雅黑" w:hAnsi="微软雅黑" w:cs="微软雅黑" w:hint="eastAsia"/>
      <w:color w:val="262626"/>
      <w:sz w:val="20"/>
      <w:szCs w:val="20"/>
      <w:u w:val="none"/>
    </w:rPr>
  </w:style>
  <w:style w:type="character" w:customStyle="1" w:styleId="font41">
    <w:name w:val="font41"/>
    <w:basedOn w:val="a0"/>
    <w:rPr>
      <w:rFonts w:ascii="微软雅黑" w:eastAsia="微软雅黑" w:hAnsi="微软雅黑" w:cs="微软雅黑" w:hint="eastAsia"/>
      <w:b/>
      <w:bCs/>
      <w:color w:val="9855B3"/>
      <w:sz w:val="20"/>
      <w:szCs w:val="20"/>
      <w:u w:val="none"/>
    </w:rPr>
  </w:style>
  <w:style w:type="character" w:customStyle="1" w:styleId="font21">
    <w:name w:val="font21"/>
    <w:basedOn w:val="a0"/>
    <w:rPr>
      <w:rFonts w:ascii="微软雅黑" w:eastAsia="微软雅黑" w:hAnsi="微软雅黑" w:cs="微软雅黑" w:hint="eastAsia"/>
      <w:b/>
      <w:bCs/>
      <w:color w:val="FFFFFF"/>
      <w:sz w:val="28"/>
      <w:szCs w:val="28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 w:hint="eastAsia"/>
      <w:b/>
      <w:bCs/>
      <w:color w:val="FFFFFF"/>
      <w:sz w:val="20"/>
      <w:szCs w:val="20"/>
      <w:u w:val="none"/>
    </w:rPr>
  </w:style>
  <w:style w:type="character" w:customStyle="1" w:styleId="font31">
    <w:name w:val="font31"/>
    <w:basedOn w:val="a0"/>
    <w:rPr>
      <w:rFonts w:ascii="微软雅黑" w:eastAsia="微软雅黑" w:hAnsi="微软雅黑" w:cs="微软雅黑" w:hint="eastAsia"/>
      <w:b/>
      <w:bCs/>
      <w:color w:val="305496"/>
      <w:sz w:val="20"/>
      <w:szCs w:val="20"/>
      <w:u w:val="none"/>
    </w:rPr>
  </w:style>
  <w:style w:type="character" w:customStyle="1" w:styleId="font71">
    <w:name w:val="font71"/>
    <w:basedOn w:val="a0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054D8C"/>
    <w:rPr>
      <w:sz w:val="18"/>
      <w:szCs w:val="18"/>
    </w:rPr>
  </w:style>
  <w:style w:type="character" w:customStyle="1" w:styleId="Char">
    <w:name w:val="批注框文本 Char"/>
    <w:basedOn w:val="a0"/>
    <w:link w:val="a6"/>
    <w:rsid w:val="00054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41BE1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-51">
    <w:name w:val="浅色列表 - 着色 51"/>
    <w:basedOn w:val="a"/>
    <w:uiPriority w:val="99"/>
    <w:qFormat/>
    <w:rsid w:val="00B41BE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992</Words>
  <Characters>5661</Characters>
  <Application>Microsoft Office Word</Application>
  <DocSecurity>0</DocSecurity>
  <Lines>47</Lines>
  <Paragraphs>13</Paragraphs>
  <ScaleCrop>false</ScaleCrop>
  <Company>Microsoft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Gcn1ng_同学</dc:creator>
  <cp:lastModifiedBy>郑一赛(9200401006)</cp:lastModifiedBy>
  <cp:revision>5</cp:revision>
  <dcterms:created xsi:type="dcterms:W3CDTF">2021-07-02T00:53:00Z</dcterms:created>
  <dcterms:modified xsi:type="dcterms:W3CDTF">2021-07-02T01:17:00Z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C7FE67A764CC4E388FA2866559E39652</vt:lpwstr>
  </property>
</Properties>
</file>